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12D506">
      <w:pPr>
        <w:rPr>
          <w:rFonts w:hint="eastAsia" w:ascii="黑体" w:hAnsi="黑体" w:eastAsia="黑体"/>
          <w:sz w:val="32"/>
          <w:szCs w:val="32"/>
        </w:rPr>
      </w:pPr>
    </w:p>
    <w:p w14:paraId="2083158F">
      <w:pPr>
        <w:jc w:val="center"/>
        <w:rPr>
          <w:rFonts w:hint="eastAsia" w:ascii="方正小标宋_GBK" w:hAnsi="宋体" w:eastAsia="方正小标宋_GBK"/>
          <w:sz w:val="44"/>
          <w:szCs w:val="44"/>
        </w:rPr>
      </w:pPr>
    </w:p>
    <w:p w14:paraId="5FDEC24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木垒哈萨克自治县人民政府办公室</w:t>
      </w:r>
    </w:p>
    <w:p w14:paraId="7FCFE18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50BD9A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2AA8F67">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44C15D2">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5EDE3FE">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25064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13740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FC07A5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62302F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835E5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76AC47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A3EB30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26673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F7CEBC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66E31F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0C7EE6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7B4BA7EE">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0764C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559DCB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3765CC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ED16282">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1BCDB8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53DF29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490D8C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3D88103">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3DA37B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59849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E452A7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E7C0C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7FC27E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F9430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30AC9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FF382C5">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BEC7837">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9CC95C0">
      <w:r>
        <w:rPr>
          <w:rFonts w:hint="eastAsia" w:ascii="仿宋_GB2312" w:hAnsi="仿宋_GB2312" w:eastAsia="仿宋_GB2312" w:cs="仿宋_GB2312"/>
          <w:sz w:val="32"/>
          <w:szCs w:val="32"/>
        </w:rPr>
        <w:fldChar w:fldCharType="end"/>
      </w:r>
    </w:p>
    <w:p w14:paraId="089989F8">
      <w:pPr>
        <w:rPr>
          <w:rFonts w:ascii="仿宋_GB2312" w:eastAsia="仿宋_GB2312"/>
          <w:sz w:val="32"/>
          <w:szCs w:val="32"/>
        </w:rPr>
      </w:pPr>
      <w:r>
        <w:rPr>
          <w:rFonts w:hint="eastAsia" w:ascii="仿宋_GB2312" w:eastAsia="仿宋_GB2312"/>
          <w:sz w:val="32"/>
          <w:szCs w:val="32"/>
        </w:rPr>
        <w:br w:type="page"/>
      </w:r>
    </w:p>
    <w:p w14:paraId="054EB0CF">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36E1B424">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27D330F1">
      <w:pPr>
        <w:ind w:firstLine="640" w:firstLineChars="200"/>
        <w:rPr>
          <w:rFonts w:ascii="仿宋_GB2312" w:eastAsia="仿宋_GB2312"/>
          <w:sz w:val="32"/>
          <w:szCs w:val="32"/>
        </w:rPr>
      </w:pPr>
      <w:r>
        <w:rPr>
          <w:rFonts w:hint="eastAsia" w:ascii="仿宋_GB2312" w:eastAsia="仿宋_GB2312"/>
          <w:sz w:val="32"/>
          <w:szCs w:val="32"/>
          <w:lang w:eastAsia="zh-CN"/>
        </w:rPr>
        <w:t>1.</w:t>
      </w:r>
      <w:r>
        <w:rPr>
          <w:rFonts w:hint="eastAsia" w:ascii="仿宋_GB2312" w:eastAsia="仿宋_GB2312"/>
          <w:sz w:val="32"/>
          <w:szCs w:val="32"/>
        </w:rPr>
        <w:t>负责筹备和组织自治县人民政府召开各种会议及重大活动，并做好会议记录整理和重要情况报告等相关工作，负责县政府领导参加重大活动的组织、协调和安排工作。</w:t>
      </w:r>
    </w:p>
    <w:p w14:paraId="6C096630">
      <w:pPr>
        <w:ind w:firstLine="640" w:firstLineChars="200"/>
        <w:rPr>
          <w:rFonts w:ascii="仿宋_GB2312" w:eastAsia="仿宋_GB2312"/>
          <w:sz w:val="32"/>
          <w:szCs w:val="32"/>
        </w:rPr>
      </w:pPr>
      <w:r>
        <w:rPr>
          <w:rFonts w:hint="eastAsia" w:ascii="仿宋_GB2312" w:eastAsia="仿宋_GB2312"/>
          <w:sz w:val="32"/>
          <w:szCs w:val="32"/>
          <w:lang w:eastAsia="zh-CN"/>
        </w:rPr>
        <w:t>2.</w:t>
      </w:r>
      <w:r>
        <w:rPr>
          <w:rFonts w:hint="eastAsia" w:ascii="仿宋_GB2312" w:eastAsia="仿宋_GB2312"/>
          <w:sz w:val="32"/>
          <w:szCs w:val="32"/>
        </w:rPr>
        <w:t>组织起草、审核、印发以自治县人民政府、自治县人民政府办公室名义发布的公文。</w:t>
      </w:r>
    </w:p>
    <w:p w14:paraId="4DC0F04A">
      <w:pPr>
        <w:ind w:firstLine="640" w:firstLineChars="200"/>
        <w:rPr>
          <w:rFonts w:ascii="仿宋_GB2312" w:eastAsia="仿宋_GB2312"/>
          <w:sz w:val="32"/>
          <w:szCs w:val="32"/>
        </w:rPr>
      </w:pPr>
      <w:r>
        <w:rPr>
          <w:rFonts w:hint="eastAsia" w:ascii="仿宋_GB2312" w:eastAsia="仿宋_GB2312"/>
          <w:sz w:val="32"/>
          <w:szCs w:val="32"/>
          <w:lang w:eastAsia="zh-CN"/>
        </w:rPr>
        <w:t>3.</w:t>
      </w:r>
      <w:r>
        <w:rPr>
          <w:rFonts w:hint="eastAsia" w:ascii="仿宋_GB2312" w:eastAsia="仿宋_GB2312"/>
          <w:sz w:val="32"/>
          <w:szCs w:val="32"/>
        </w:rPr>
        <w:t>研究自治县人民政府各部门和各乡镇人民政府请示县人民政府的问题，提出审核意见，报县人民政府领导审批。</w:t>
      </w:r>
    </w:p>
    <w:p w14:paraId="0D9A5138">
      <w:pPr>
        <w:ind w:firstLine="640" w:firstLineChars="200"/>
        <w:rPr>
          <w:rFonts w:ascii="仿宋_GB2312" w:eastAsia="仿宋_GB2312"/>
          <w:sz w:val="32"/>
          <w:szCs w:val="32"/>
        </w:rPr>
      </w:pPr>
      <w:r>
        <w:rPr>
          <w:rFonts w:hint="eastAsia" w:ascii="仿宋_GB2312" w:eastAsia="仿宋_GB2312"/>
          <w:sz w:val="32"/>
          <w:szCs w:val="32"/>
          <w:lang w:eastAsia="zh-CN"/>
        </w:rPr>
        <w:t>4.</w:t>
      </w:r>
      <w:r>
        <w:rPr>
          <w:rFonts w:hint="eastAsia" w:ascii="仿宋_GB2312" w:eastAsia="仿宋_GB2312"/>
          <w:sz w:val="32"/>
          <w:szCs w:val="32"/>
        </w:rPr>
        <w:t>根据自治县人民政府工作需要和自治县人民政府领导的指示，组织协调自治县人民政府有关部门工作，对有争议的问题提出处理意见报自治县人民政府领导审定。</w:t>
      </w:r>
    </w:p>
    <w:p w14:paraId="1FABED27">
      <w:pPr>
        <w:ind w:firstLine="640" w:firstLineChars="200"/>
        <w:rPr>
          <w:rFonts w:ascii="仿宋_GB2312" w:eastAsia="仿宋_GB2312"/>
          <w:sz w:val="32"/>
          <w:szCs w:val="32"/>
        </w:rPr>
      </w:pPr>
      <w:r>
        <w:rPr>
          <w:rFonts w:hint="eastAsia" w:ascii="仿宋_GB2312" w:eastAsia="仿宋_GB2312"/>
          <w:sz w:val="32"/>
          <w:szCs w:val="32"/>
          <w:lang w:eastAsia="zh-CN"/>
        </w:rPr>
        <w:t>5.</w:t>
      </w:r>
      <w:r>
        <w:rPr>
          <w:rFonts w:hint="eastAsia" w:ascii="仿宋_GB2312" w:eastAsia="仿宋_GB2312"/>
          <w:sz w:val="32"/>
          <w:szCs w:val="32"/>
        </w:rPr>
        <w:t>督促检查自治县人民政府公文、会议决定事项及自治县人民政府领导同志有关指示的执行落实情况并跟踪调研，及时向自治县人民政府领导同志报告；负责县</w:t>
      </w:r>
      <w:r>
        <w:rPr>
          <w:rFonts w:hint="eastAsia" w:ascii="仿宋_GB2312" w:eastAsia="仿宋_GB2312"/>
          <w:sz w:val="32"/>
          <w:szCs w:val="32"/>
          <w:lang w:eastAsia="zh-CN"/>
        </w:rPr>
        <w:t>领导</w:t>
      </w:r>
      <w:r>
        <w:rPr>
          <w:rFonts w:hint="eastAsia" w:ascii="仿宋_GB2312" w:eastAsia="仿宋_GB2312"/>
          <w:sz w:val="32"/>
          <w:szCs w:val="32"/>
        </w:rPr>
        <w:t>进行督促检查的服务工作和组织协调工作。</w:t>
      </w:r>
    </w:p>
    <w:p w14:paraId="7EED1D41">
      <w:pPr>
        <w:ind w:firstLine="640" w:firstLineChars="200"/>
        <w:rPr>
          <w:rFonts w:ascii="仿宋_GB2312" w:eastAsia="仿宋_GB2312"/>
          <w:sz w:val="32"/>
          <w:szCs w:val="32"/>
        </w:rPr>
      </w:pPr>
      <w:r>
        <w:rPr>
          <w:rFonts w:hint="eastAsia" w:ascii="仿宋_GB2312" w:eastAsia="仿宋_GB2312"/>
          <w:sz w:val="32"/>
          <w:szCs w:val="32"/>
          <w:lang w:eastAsia="zh-CN"/>
        </w:rPr>
        <w:t>6.</w:t>
      </w:r>
      <w:r>
        <w:rPr>
          <w:rFonts w:hint="eastAsia" w:ascii="仿宋_GB2312" w:eastAsia="仿宋_GB2312"/>
          <w:sz w:val="32"/>
          <w:szCs w:val="32"/>
        </w:rPr>
        <w:t>组织和协同自治县人民政府有关部门根据自治县人民政府的工作部署和自治县人民政府领导的指示，做好各个时期中心工作和专项工作的调查研究，收集信息，及时向自治县人民政府领导反映情况，为自治县人民政府贯彻上级指示，制定本地区社会发展战略和方针、政策、措施提供参考意见和可供选择的方案，当好参谋。</w:t>
      </w:r>
    </w:p>
    <w:p w14:paraId="698834D5">
      <w:pPr>
        <w:ind w:firstLine="640" w:firstLineChars="200"/>
        <w:rPr>
          <w:rFonts w:ascii="仿宋_GB2312" w:eastAsia="仿宋_GB2312"/>
          <w:sz w:val="32"/>
          <w:szCs w:val="32"/>
        </w:rPr>
      </w:pPr>
      <w:r>
        <w:rPr>
          <w:rFonts w:hint="eastAsia" w:ascii="仿宋_GB2312" w:eastAsia="仿宋_GB2312"/>
          <w:sz w:val="32"/>
          <w:szCs w:val="32"/>
        </w:rPr>
        <w:t>7</w:t>
      </w:r>
      <w:r>
        <w:rPr>
          <w:rFonts w:hint="eastAsia" w:ascii="仿宋_GB2312" w:eastAsia="仿宋_GB2312"/>
          <w:sz w:val="32"/>
          <w:szCs w:val="32"/>
          <w:lang w:eastAsia="zh-CN"/>
        </w:rPr>
        <w:t>.</w:t>
      </w:r>
      <w:r>
        <w:rPr>
          <w:rFonts w:hint="eastAsia" w:ascii="仿宋_GB2312" w:eastAsia="仿宋_GB2312"/>
          <w:sz w:val="32"/>
          <w:szCs w:val="32"/>
        </w:rPr>
        <w:t>协助自治县人民政府领导组织处理需由自治县人民政府处理的应急事件和重大事故，负责自治县人民政府应急管理日常工作。</w:t>
      </w:r>
    </w:p>
    <w:p w14:paraId="295FB0B6">
      <w:pPr>
        <w:ind w:firstLine="640" w:firstLineChars="200"/>
        <w:rPr>
          <w:rFonts w:ascii="仿宋_GB2312" w:eastAsia="仿宋_GB2312"/>
          <w:sz w:val="32"/>
          <w:szCs w:val="32"/>
        </w:rPr>
      </w:pPr>
      <w:r>
        <w:rPr>
          <w:rFonts w:hint="eastAsia" w:ascii="仿宋_GB2312" w:eastAsia="仿宋_GB2312"/>
          <w:sz w:val="32"/>
          <w:szCs w:val="32"/>
          <w:lang w:eastAsia="zh-CN"/>
        </w:rPr>
        <w:t>8.</w:t>
      </w:r>
      <w:r>
        <w:rPr>
          <w:rFonts w:hint="eastAsia" w:ascii="仿宋_GB2312" w:eastAsia="仿宋_GB2312"/>
          <w:sz w:val="32"/>
          <w:szCs w:val="32"/>
        </w:rPr>
        <w:t>负责人大代表的议案建议、批评意见和政协委员提案的办理和答复工作。</w:t>
      </w:r>
    </w:p>
    <w:p w14:paraId="570B0E15">
      <w:pPr>
        <w:ind w:firstLine="640" w:firstLineChars="200"/>
        <w:rPr>
          <w:rFonts w:ascii="仿宋_GB2312" w:eastAsia="仿宋_GB2312"/>
          <w:sz w:val="32"/>
          <w:szCs w:val="32"/>
        </w:rPr>
      </w:pPr>
      <w:r>
        <w:rPr>
          <w:rFonts w:hint="eastAsia" w:ascii="仿宋_GB2312" w:eastAsia="仿宋_GB2312"/>
          <w:sz w:val="32"/>
          <w:szCs w:val="32"/>
          <w:lang w:eastAsia="zh-CN"/>
        </w:rPr>
        <w:t>9.</w:t>
      </w:r>
      <w:r>
        <w:rPr>
          <w:rFonts w:hint="eastAsia" w:ascii="仿宋_GB2312" w:eastAsia="仿宋_GB2312"/>
          <w:sz w:val="32"/>
          <w:szCs w:val="32"/>
        </w:rPr>
        <w:t>负责登记、接待和处理人民群众来信来访工作，重要情况及时向领导报告，上访信件及时转有关部门处理。</w:t>
      </w:r>
    </w:p>
    <w:p w14:paraId="5E281EE8">
      <w:pPr>
        <w:ind w:firstLine="640" w:firstLineChars="200"/>
        <w:rPr>
          <w:rFonts w:ascii="仿宋_GB2312" w:eastAsia="仿宋_GB2312"/>
          <w:sz w:val="32"/>
          <w:szCs w:val="32"/>
        </w:rPr>
      </w:pPr>
      <w:r>
        <w:rPr>
          <w:rFonts w:hint="eastAsia" w:ascii="仿宋_GB2312" w:eastAsia="仿宋_GB2312"/>
          <w:sz w:val="32"/>
          <w:szCs w:val="32"/>
          <w:lang w:eastAsia="zh-CN"/>
        </w:rPr>
        <w:t>10.</w:t>
      </w:r>
      <w:r>
        <w:rPr>
          <w:rFonts w:hint="eastAsia" w:ascii="仿宋_GB2312" w:eastAsia="仿宋_GB2312"/>
          <w:sz w:val="32"/>
          <w:szCs w:val="32"/>
        </w:rPr>
        <w:t>负责做好自治县人民政府公文处理、机要、通信、印信管理和自治县人民政府、自治县人民木垒哈萨克自治县人民政府办公室档案收集、整理等方面的工作。</w:t>
      </w:r>
    </w:p>
    <w:p w14:paraId="44369DF8">
      <w:pPr>
        <w:ind w:firstLine="640" w:firstLineChars="200"/>
        <w:rPr>
          <w:rFonts w:ascii="仿宋_GB2312" w:eastAsia="仿宋_GB2312"/>
          <w:sz w:val="32"/>
          <w:szCs w:val="32"/>
        </w:rPr>
      </w:pPr>
      <w:r>
        <w:rPr>
          <w:rFonts w:hint="eastAsia" w:ascii="仿宋_GB2312" w:eastAsia="仿宋_GB2312"/>
          <w:sz w:val="32"/>
          <w:szCs w:val="32"/>
          <w:lang w:eastAsia="zh-CN"/>
        </w:rPr>
        <w:t>11.</w:t>
      </w:r>
      <w:r>
        <w:rPr>
          <w:rFonts w:hint="eastAsia" w:ascii="仿宋_GB2312" w:eastAsia="仿宋_GB2312"/>
          <w:sz w:val="32"/>
          <w:szCs w:val="32"/>
        </w:rPr>
        <w:t>组织自治县人民政府机关的各项公益活动。</w:t>
      </w:r>
    </w:p>
    <w:p w14:paraId="7E571E50">
      <w:pPr>
        <w:ind w:firstLine="640" w:firstLineChars="200"/>
        <w:rPr>
          <w:rFonts w:ascii="仿宋_GB2312" w:eastAsia="仿宋_GB2312"/>
          <w:sz w:val="32"/>
          <w:szCs w:val="32"/>
        </w:rPr>
      </w:pPr>
      <w:r>
        <w:rPr>
          <w:rFonts w:hint="eastAsia" w:ascii="仿宋_GB2312" w:eastAsia="仿宋_GB2312"/>
          <w:sz w:val="32"/>
          <w:szCs w:val="32"/>
          <w:lang w:eastAsia="zh-CN"/>
        </w:rPr>
        <w:t>12.</w:t>
      </w:r>
      <w:r>
        <w:rPr>
          <w:rFonts w:hint="eastAsia" w:ascii="仿宋_GB2312" w:eastAsia="仿宋_GB2312"/>
          <w:sz w:val="32"/>
          <w:szCs w:val="32"/>
        </w:rPr>
        <w:t>贯彻执行国家和自治区、自治州有关政府法制工作的方针、政策，监督检查行政执法活动；协调自治县人民政府各部门及乡镇政府之间在行政执法中发生的争议；负责依法确认和规范行政执法主体资格；负责自治县行政执法证的监督管理工作，协助自治县人民政府和政府各部门做好全面推进依法行政工作。</w:t>
      </w:r>
    </w:p>
    <w:p w14:paraId="6F32E07D">
      <w:pPr>
        <w:ind w:firstLine="640" w:firstLineChars="200"/>
        <w:rPr>
          <w:rFonts w:ascii="仿宋_GB2312" w:eastAsia="仿宋_GB2312"/>
          <w:sz w:val="32"/>
          <w:szCs w:val="32"/>
        </w:rPr>
      </w:pPr>
      <w:r>
        <w:rPr>
          <w:rFonts w:hint="eastAsia" w:ascii="仿宋_GB2312" w:eastAsia="仿宋_GB2312"/>
          <w:sz w:val="32"/>
          <w:szCs w:val="32"/>
          <w:lang w:eastAsia="zh-CN"/>
        </w:rPr>
        <w:t>13.</w:t>
      </w:r>
      <w:r>
        <w:rPr>
          <w:rFonts w:hint="eastAsia" w:ascii="仿宋_GB2312" w:eastAsia="仿宋_GB2312"/>
          <w:sz w:val="32"/>
          <w:szCs w:val="32"/>
        </w:rPr>
        <w:t>负责指导、监督自治县政务公开及政府信息公开工作；负责指导、监督自治县水库移民、灾区移民及其</w:t>
      </w:r>
      <w:r>
        <w:rPr>
          <w:rFonts w:hint="eastAsia" w:ascii="仿宋_GB2312" w:eastAsia="仿宋_GB2312"/>
          <w:sz w:val="32"/>
          <w:szCs w:val="32"/>
          <w:lang w:eastAsia="zh-CN"/>
        </w:rPr>
        <w:t>他</w:t>
      </w:r>
      <w:r>
        <w:rPr>
          <w:rFonts w:hint="eastAsia" w:ascii="仿宋_GB2312" w:eastAsia="仿宋_GB2312"/>
          <w:sz w:val="32"/>
          <w:szCs w:val="32"/>
        </w:rPr>
        <w:t>移民的安置后期帮扶等工作；负责推进、指导、协调自治县政府电子政务工作。</w:t>
      </w:r>
    </w:p>
    <w:p w14:paraId="0BC892BC">
      <w:pPr>
        <w:ind w:firstLine="640" w:firstLineChars="200"/>
        <w:rPr>
          <w:rFonts w:ascii="仿宋_GB2312" w:eastAsia="仿宋_GB2312"/>
          <w:sz w:val="32"/>
          <w:szCs w:val="32"/>
        </w:rPr>
      </w:pPr>
      <w:r>
        <w:rPr>
          <w:rFonts w:hint="eastAsia" w:ascii="仿宋_GB2312" w:eastAsia="仿宋_GB2312"/>
          <w:sz w:val="32"/>
          <w:szCs w:val="32"/>
        </w:rPr>
        <w:t>14</w:t>
      </w:r>
      <w:r>
        <w:rPr>
          <w:rFonts w:hint="eastAsia" w:ascii="仿宋_GB2312" w:eastAsia="仿宋_GB2312"/>
          <w:sz w:val="32"/>
          <w:szCs w:val="32"/>
          <w:lang w:eastAsia="zh-CN"/>
        </w:rPr>
        <w:t>.</w:t>
      </w:r>
      <w:r>
        <w:rPr>
          <w:rFonts w:hint="eastAsia" w:ascii="仿宋_GB2312" w:eastAsia="仿宋_GB2312"/>
          <w:sz w:val="32"/>
          <w:szCs w:val="32"/>
        </w:rPr>
        <w:t>承办自治州人民政府和自治县人民政府领导同志交办的其他事项。</w:t>
      </w:r>
    </w:p>
    <w:p w14:paraId="28B1FEF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F8F9E0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木垒哈萨克自治县人民政府办公室2023年度，实有人数</w:t>
      </w:r>
      <w:r>
        <w:rPr>
          <w:rFonts w:hint="eastAsia" w:ascii="仿宋_GB2312" w:eastAsia="仿宋_GB2312"/>
          <w:sz w:val="32"/>
          <w:szCs w:val="32"/>
          <w:lang w:val="zh-CN"/>
        </w:rPr>
        <w:t>108</w:t>
      </w:r>
      <w:r>
        <w:rPr>
          <w:rFonts w:hint="eastAsia" w:ascii="仿宋_GB2312" w:eastAsia="仿宋_GB2312"/>
          <w:sz w:val="32"/>
          <w:szCs w:val="32"/>
        </w:rPr>
        <w:t>人，其中：在职人员</w:t>
      </w:r>
      <w:r>
        <w:rPr>
          <w:rFonts w:hint="eastAsia" w:ascii="仿宋_GB2312" w:eastAsia="仿宋_GB2312"/>
          <w:sz w:val="32"/>
          <w:szCs w:val="32"/>
          <w:lang w:val="zh-CN"/>
        </w:rPr>
        <w:t>57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51</w:t>
      </w:r>
      <w:r>
        <w:rPr>
          <w:rFonts w:hint="eastAsia" w:ascii="仿宋_GB2312" w:eastAsia="仿宋_GB2312"/>
          <w:sz w:val="32"/>
          <w:szCs w:val="32"/>
        </w:rPr>
        <w:t>人。</w:t>
      </w:r>
    </w:p>
    <w:p w14:paraId="6E42B704">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5</w:t>
      </w:r>
      <w:r>
        <w:rPr>
          <w:rFonts w:hint="eastAsia" w:ascii="仿宋_GB2312" w:hAnsi="黑体" w:eastAsia="仿宋_GB2312" w:cs="宋体"/>
          <w:bCs/>
          <w:kern w:val="0"/>
          <w:sz w:val="32"/>
          <w:szCs w:val="32"/>
        </w:rPr>
        <w:t>个处室，分别是：行管科、文书科、秘书科、翻译室、督查科</w:t>
      </w:r>
      <w:r>
        <w:rPr>
          <w:rFonts w:hint="eastAsia" w:ascii="仿宋_GB2312" w:hAnsi="宋体" w:eastAsia="仿宋_GB2312" w:cs="宋体"/>
          <w:kern w:val="0"/>
          <w:sz w:val="32"/>
          <w:szCs w:val="32"/>
        </w:rPr>
        <w:t>。</w:t>
      </w:r>
    </w:p>
    <w:p w14:paraId="22775B28">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57F0D6A9">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4D67F606">
      <w:pPr>
        <w:ind w:firstLine="640" w:firstLineChars="200"/>
        <w:jc w:val="left"/>
        <w:rPr>
          <w:rFonts w:ascii="仿宋_GB2312" w:eastAsia="仿宋_GB2312"/>
          <w:sz w:val="32"/>
          <w:szCs w:val="32"/>
        </w:rPr>
      </w:pPr>
      <w:r>
        <w:rPr>
          <w:rFonts w:hint="eastAsia" w:ascii="仿宋_GB2312" w:eastAsia="仿宋_GB2312"/>
          <w:sz w:val="32"/>
          <w:szCs w:val="32"/>
        </w:rPr>
        <w:t>2023年度收入总计1,668.45万元，其中：本年收入合计1,668.45万元，使用非财政拨款结余0.00万元，年初结转和结余0.00万元。</w:t>
      </w:r>
    </w:p>
    <w:p w14:paraId="28561BD9">
      <w:pPr>
        <w:ind w:firstLine="640" w:firstLineChars="200"/>
        <w:jc w:val="left"/>
        <w:rPr>
          <w:rFonts w:ascii="仿宋_GB2312" w:eastAsia="仿宋_GB2312"/>
          <w:sz w:val="32"/>
          <w:szCs w:val="32"/>
        </w:rPr>
      </w:pPr>
      <w:r>
        <w:rPr>
          <w:rFonts w:hint="eastAsia" w:ascii="仿宋_GB2312" w:eastAsia="仿宋_GB2312"/>
          <w:sz w:val="32"/>
          <w:szCs w:val="32"/>
        </w:rPr>
        <w:t>2023年度支出总计1,668.45万元，其中：本年支出合计1,668.45万元，结余分配0.00万元，年末结转和结余0.00万元。</w:t>
      </w:r>
    </w:p>
    <w:p w14:paraId="0A771B3E">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增加124.92万元</w:t>
      </w:r>
      <w:r>
        <w:rPr>
          <w:rFonts w:hint="eastAsia" w:ascii="仿宋_GB2312" w:eastAsia="仿宋_GB2312"/>
          <w:sz w:val="32"/>
          <w:szCs w:val="32"/>
        </w:rPr>
        <w:t>，增长8.09%，主要原因是：</w:t>
      </w:r>
      <w:r>
        <w:rPr>
          <w:rFonts w:hint="eastAsia" w:ascii="仿宋_GB2312" w:eastAsia="仿宋_GB2312"/>
          <w:sz w:val="32"/>
          <w:szCs w:val="32"/>
          <w:lang w:val="en-US" w:eastAsia="zh-CN"/>
        </w:rPr>
        <w:t>单位</w:t>
      </w:r>
      <w:r>
        <w:rPr>
          <w:rFonts w:hint="eastAsia" w:ascii="仿宋_GB2312" w:eastAsia="仿宋_GB2312"/>
          <w:kern w:val="2"/>
          <w:sz w:val="32"/>
          <w:szCs w:val="32"/>
          <w:lang w:val="zh-CN"/>
        </w:rPr>
        <w:t>本年增加人口抽样调查</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w:t>
      </w:r>
      <w:r>
        <w:rPr>
          <w:rFonts w:hint="eastAsia" w:eastAsia="仿宋_GB2312"/>
          <w:sz w:val="32"/>
          <w:szCs w:val="32"/>
        </w:rPr>
        <w:t>统计局第五次全国经济普查工作</w:t>
      </w:r>
      <w:r>
        <w:rPr>
          <w:rFonts w:hint="eastAsia" w:eastAsia="仿宋_GB2312"/>
          <w:sz w:val="32"/>
          <w:szCs w:val="32"/>
          <w:lang w:val="en-US" w:eastAsia="zh-CN"/>
        </w:rPr>
        <w:t>项目</w:t>
      </w:r>
      <w:r>
        <w:rPr>
          <w:rFonts w:hint="eastAsia" w:eastAsia="仿宋_GB2312"/>
          <w:sz w:val="32"/>
          <w:szCs w:val="32"/>
        </w:rPr>
        <w:t>经费</w:t>
      </w:r>
      <w:r>
        <w:rPr>
          <w:rFonts w:hint="eastAsia" w:eastAsia="仿宋_GB2312"/>
          <w:sz w:val="32"/>
          <w:szCs w:val="32"/>
          <w:lang w:eastAsia="zh-CN"/>
        </w:rPr>
        <w:t>、</w:t>
      </w:r>
      <w:r>
        <w:rPr>
          <w:rFonts w:hint="eastAsia" w:eastAsia="仿宋_GB2312"/>
          <w:sz w:val="32"/>
          <w:szCs w:val="32"/>
        </w:rPr>
        <w:t>统计局第五次经济普查“两员”补助经费</w:t>
      </w:r>
      <w:r>
        <w:rPr>
          <w:rFonts w:hint="eastAsia" w:ascii="仿宋_GB2312" w:eastAsia="仿宋_GB2312"/>
          <w:sz w:val="32"/>
          <w:szCs w:val="32"/>
        </w:rPr>
        <w:t>。</w:t>
      </w:r>
    </w:p>
    <w:p w14:paraId="165CD0F9">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01C9A3D2">
      <w:pPr>
        <w:ind w:firstLine="640" w:firstLineChars="200"/>
        <w:jc w:val="left"/>
        <w:rPr>
          <w:rFonts w:ascii="仿宋_GB2312" w:eastAsia="仿宋_GB2312"/>
          <w:sz w:val="32"/>
          <w:szCs w:val="32"/>
        </w:rPr>
      </w:pPr>
      <w:r>
        <w:rPr>
          <w:rFonts w:hint="eastAsia" w:ascii="仿宋_GB2312" w:eastAsia="仿宋_GB2312"/>
          <w:sz w:val="32"/>
          <w:szCs w:val="32"/>
        </w:rPr>
        <w:t>本年收入1,668.45万元，其中：财政拨款收入</w:t>
      </w:r>
      <w:r>
        <w:rPr>
          <w:rFonts w:hint="eastAsia" w:ascii="仿宋_GB2312" w:eastAsia="仿宋_GB2312"/>
          <w:sz w:val="32"/>
          <w:szCs w:val="32"/>
          <w:lang w:val="zh-CN"/>
        </w:rPr>
        <w:t>1,668.45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2F9E6E15">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6BF1D759">
      <w:pPr>
        <w:ind w:firstLine="640" w:firstLineChars="200"/>
        <w:jc w:val="left"/>
        <w:rPr>
          <w:rFonts w:ascii="仿宋_GB2312" w:eastAsia="仿宋_GB2312"/>
          <w:sz w:val="32"/>
          <w:szCs w:val="32"/>
        </w:rPr>
      </w:pPr>
      <w:r>
        <w:rPr>
          <w:rFonts w:hint="eastAsia" w:ascii="仿宋_GB2312" w:eastAsia="仿宋_GB2312"/>
          <w:sz w:val="32"/>
          <w:szCs w:val="32"/>
        </w:rPr>
        <w:t>本年支出1,668.45万元，其中：基本支出1,475.28万元，占88.42%；项目支出193.17万元，占11.58%；上缴上级支出0.00万元，占0.00%；经营支出0.00万元，占0.00%；对附属单位补助支出0.00万元，占0.00%。</w:t>
      </w:r>
    </w:p>
    <w:p w14:paraId="37DF5942">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0E70106C">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1,668.45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1,668.45</w:t>
      </w:r>
      <w:r>
        <w:rPr>
          <w:rFonts w:hint="eastAsia" w:ascii="仿宋_GB2312" w:eastAsia="仿宋_GB2312"/>
          <w:sz w:val="32"/>
          <w:szCs w:val="32"/>
        </w:rPr>
        <w:t>万元。财政拨款支出总计</w:t>
      </w:r>
      <w:r>
        <w:rPr>
          <w:rFonts w:hint="eastAsia" w:ascii="仿宋_GB2312" w:eastAsia="仿宋_GB2312"/>
          <w:sz w:val="32"/>
          <w:szCs w:val="32"/>
          <w:lang w:val="zh-CN"/>
        </w:rPr>
        <w:t>1,668.45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1,668.45</w:t>
      </w:r>
      <w:r>
        <w:rPr>
          <w:rFonts w:hint="eastAsia" w:ascii="仿宋_GB2312" w:eastAsia="仿宋_GB2312"/>
          <w:sz w:val="32"/>
          <w:szCs w:val="32"/>
        </w:rPr>
        <w:t>万元。</w:t>
      </w:r>
    </w:p>
    <w:p w14:paraId="7C32B1BC">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增加158.67万元</w:t>
      </w:r>
      <w:r>
        <w:rPr>
          <w:rFonts w:hint="eastAsia" w:ascii="仿宋_GB2312" w:eastAsia="仿宋_GB2312"/>
          <w:sz w:val="32"/>
          <w:szCs w:val="32"/>
        </w:rPr>
        <w:t>，增长10.51%,主要原因是：</w:t>
      </w:r>
      <w:r>
        <w:rPr>
          <w:rFonts w:hint="eastAsia" w:ascii="仿宋_GB2312" w:eastAsia="仿宋_GB2312"/>
          <w:sz w:val="32"/>
          <w:szCs w:val="32"/>
          <w:lang w:val="en-US" w:eastAsia="zh-CN"/>
        </w:rPr>
        <w:t>单位</w:t>
      </w:r>
      <w:r>
        <w:rPr>
          <w:rFonts w:hint="eastAsia" w:ascii="仿宋_GB2312" w:eastAsia="仿宋_GB2312"/>
          <w:kern w:val="2"/>
          <w:sz w:val="32"/>
          <w:szCs w:val="32"/>
          <w:lang w:val="zh-CN"/>
        </w:rPr>
        <w:t>本年增加人口抽样调查</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w:t>
      </w:r>
      <w:r>
        <w:rPr>
          <w:rFonts w:hint="eastAsia" w:eastAsia="仿宋_GB2312"/>
          <w:sz w:val="32"/>
          <w:szCs w:val="32"/>
        </w:rPr>
        <w:t>统计局第五次全国经济普查工作</w:t>
      </w:r>
      <w:r>
        <w:rPr>
          <w:rFonts w:hint="eastAsia" w:eastAsia="仿宋_GB2312"/>
          <w:sz w:val="32"/>
          <w:szCs w:val="32"/>
          <w:lang w:val="en-US" w:eastAsia="zh-CN"/>
        </w:rPr>
        <w:t>项目</w:t>
      </w:r>
      <w:r>
        <w:rPr>
          <w:rFonts w:hint="eastAsia" w:eastAsia="仿宋_GB2312"/>
          <w:sz w:val="32"/>
          <w:szCs w:val="32"/>
        </w:rPr>
        <w:t>经费</w:t>
      </w:r>
      <w:r>
        <w:rPr>
          <w:rFonts w:hint="eastAsia" w:eastAsia="仿宋_GB2312"/>
          <w:sz w:val="32"/>
          <w:szCs w:val="32"/>
          <w:lang w:eastAsia="zh-CN"/>
        </w:rPr>
        <w:t>、</w:t>
      </w:r>
      <w:r>
        <w:rPr>
          <w:rFonts w:hint="eastAsia" w:eastAsia="仿宋_GB2312"/>
          <w:sz w:val="32"/>
          <w:szCs w:val="32"/>
        </w:rPr>
        <w:t>统计局第五次经济普查“两员”补助经费</w:t>
      </w:r>
      <w:r>
        <w:rPr>
          <w:rFonts w:hint="eastAsia" w:ascii="仿宋_GB2312" w:eastAsia="仿宋_GB2312"/>
          <w:sz w:val="32"/>
          <w:szCs w:val="32"/>
        </w:rPr>
        <w:t>。与年初预算相比，年初预算数</w:t>
      </w:r>
      <w:r>
        <w:rPr>
          <w:rFonts w:hint="eastAsia" w:ascii="仿宋_GB2312" w:eastAsia="仿宋_GB2312"/>
          <w:sz w:val="32"/>
          <w:szCs w:val="32"/>
          <w:lang w:val="zh-CN"/>
        </w:rPr>
        <w:t>1,460.02</w:t>
      </w:r>
      <w:r>
        <w:rPr>
          <w:rFonts w:hint="eastAsia" w:ascii="仿宋_GB2312" w:eastAsia="仿宋_GB2312"/>
          <w:sz w:val="32"/>
          <w:szCs w:val="32"/>
        </w:rPr>
        <w:t>万元，决算数</w:t>
      </w:r>
      <w:r>
        <w:rPr>
          <w:rFonts w:hint="eastAsia" w:ascii="仿宋_GB2312" w:eastAsia="仿宋_GB2312"/>
          <w:sz w:val="32"/>
          <w:szCs w:val="32"/>
          <w:lang w:val="zh-CN"/>
        </w:rPr>
        <w:t>1,668.45</w:t>
      </w:r>
      <w:r>
        <w:rPr>
          <w:rFonts w:hint="eastAsia" w:ascii="仿宋_GB2312" w:eastAsia="仿宋_GB2312"/>
          <w:sz w:val="32"/>
          <w:szCs w:val="32"/>
        </w:rPr>
        <w:t>万元，预决算差异率14.28%，主要原因是：</w:t>
      </w:r>
      <w:r>
        <w:rPr>
          <w:rFonts w:hint="eastAsia" w:ascii="仿宋_GB2312" w:eastAsia="仿宋_GB2312"/>
          <w:sz w:val="32"/>
          <w:szCs w:val="32"/>
          <w:lang w:val="en-US" w:eastAsia="zh-CN"/>
        </w:rPr>
        <w:t>年中追加</w:t>
      </w:r>
      <w:r>
        <w:rPr>
          <w:rFonts w:hint="eastAsia" w:ascii="仿宋_GB2312" w:eastAsia="仿宋_GB2312"/>
          <w:kern w:val="2"/>
          <w:sz w:val="32"/>
          <w:szCs w:val="32"/>
          <w:lang w:val="zh-CN"/>
        </w:rPr>
        <w:t>人口抽样调查</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w:t>
      </w:r>
      <w:r>
        <w:rPr>
          <w:rFonts w:hint="eastAsia" w:eastAsia="仿宋_GB2312"/>
          <w:sz w:val="32"/>
          <w:szCs w:val="32"/>
        </w:rPr>
        <w:t>统计局第五次全国经济普查工作</w:t>
      </w:r>
      <w:r>
        <w:rPr>
          <w:rFonts w:hint="eastAsia" w:eastAsia="仿宋_GB2312"/>
          <w:sz w:val="32"/>
          <w:szCs w:val="32"/>
          <w:lang w:val="en-US" w:eastAsia="zh-CN"/>
        </w:rPr>
        <w:t>项目</w:t>
      </w:r>
      <w:r>
        <w:rPr>
          <w:rFonts w:hint="eastAsia" w:eastAsia="仿宋_GB2312"/>
          <w:sz w:val="32"/>
          <w:szCs w:val="32"/>
        </w:rPr>
        <w:t>经费</w:t>
      </w:r>
      <w:r>
        <w:rPr>
          <w:rFonts w:hint="eastAsia" w:eastAsia="仿宋_GB2312"/>
          <w:sz w:val="32"/>
          <w:szCs w:val="32"/>
          <w:lang w:eastAsia="zh-CN"/>
        </w:rPr>
        <w:t>、</w:t>
      </w:r>
      <w:r>
        <w:rPr>
          <w:rFonts w:hint="eastAsia" w:eastAsia="仿宋_GB2312"/>
          <w:sz w:val="32"/>
          <w:szCs w:val="32"/>
        </w:rPr>
        <w:t>统计局第五次经济普查“两员”补助经费</w:t>
      </w:r>
      <w:r>
        <w:rPr>
          <w:rFonts w:hint="eastAsia" w:ascii="仿宋_GB2312" w:eastAsia="仿宋_GB2312"/>
          <w:sz w:val="32"/>
          <w:szCs w:val="32"/>
        </w:rPr>
        <w:t>。</w:t>
      </w:r>
    </w:p>
    <w:p w14:paraId="3FD96378">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11C9DB46">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7EDB665">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2023年度一般公共预算财政拨款支出1,668.45万元，占本年支出合计的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增加158.67万元</w:t>
      </w:r>
      <w:r>
        <w:rPr>
          <w:rFonts w:hint="eastAsia" w:ascii="仿宋_GB2312" w:eastAsia="仿宋_GB2312"/>
          <w:sz w:val="32"/>
          <w:szCs w:val="32"/>
        </w:rPr>
        <w:t>，增长10.51%,主要原因是：</w:t>
      </w:r>
      <w:r>
        <w:rPr>
          <w:rFonts w:hint="eastAsia" w:ascii="仿宋_GB2312" w:eastAsia="仿宋_GB2312"/>
          <w:sz w:val="32"/>
          <w:szCs w:val="32"/>
          <w:lang w:val="en-US" w:eastAsia="zh-CN"/>
        </w:rPr>
        <w:t>单位</w:t>
      </w:r>
      <w:r>
        <w:rPr>
          <w:rFonts w:hint="eastAsia" w:ascii="仿宋_GB2312" w:eastAsia="仿宋_GB2312"/>
          <w:kern w:val="2"/>
          <w:sz w:val="32"/>
          <w:szCs w:val="32"/>
          <w:lang w:val="zh-CN"/>
        </w:rPr>
        <w:t>本年增加人口抽样调查</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w:t>
      </w:r>
      <w:r>
        <w:rPr>
          <w:rFonts w:hint="eastAsia" w:eastAsia="仿宋_GB2312"/>
          <w:sz w:val="32"/>
          <w:szCs w:val="32"/>
        </w:rPr>
        <w:t>统计局第五次全国经济普查工作</w:t>
      </w:r>
      <w:r>
        <w:rPr>
          <w:rFonts w:hint="eastAsia" w:eastAsia="仿宋_GB2312"/>
          <w:sz w:val="32"/>
          <w:szCs w:val="32"/>
          <w:lang w:val="en-US" w:eastAsia="zh-CN"/>
        </w:rPr>
        <w:t>项目</w:t>
      </w:r>
      <w:r>
        <w:rPr>
          <w:rFonts w:hint="eastAsia" w:eastAsia="仿宋_GB2312"/>
          <w:sz w:val="32"/>
          <w:szCs w:val="32"/>
        </w:rPr>
        <w:t>经费</w:t>
      </w:r>
      <w:r>
        <w:rPr>
          <w:rFonts w:hint="eastAsia" w:eastAsia="仿宋_GB2312"/>
          <w:sz w:val="32"/>
          <w:szCs w:val="32"/>
          <w:lang w:eastAsia="zh-CN"/>
        </w:rPr>
        <w:t>、</w:t>
      </w:r>
      <w:r>
        <w:rPr>
          <w:rFonts w:hint="eastAsia" w:eastAsia="仿宋_GB2312"/>
          <w:sz w:val="32"/>
          <w:szCs w:val="32"/>
        </w:rPr>
        <w:t>统计局第五次经济普查“两员”补助经费</w:t>
      </w:r>
      <w:r>
        <w:rPr>
          <w:rFonts w:hint="eastAsia" w:ascii="仿宋_GB2312" w:eastAsia="仿宋_GB2312"/>
          <w:sz w:val="32"/>
          <w:szCs w:val="32"/>
        </w:rPr>
        <w:t>。与年初预算相比，年初预算数</w:t>
      </w:r>
      <w:r>
        <w:rPr>
          <w:rFonts w:hint="eastAsia" w:ascii="仿宋_GB2312" w:eastAsia="仿宋_GB2312"/>
          <w:sz w:val="32"/>
          <w:szCs w:val="32"/>
          <w:lang w:val="zh-CN"/>
        </w:rPr>
        <w:t>1,460.02</w:t>
      </w:r>
      <w:r>
        <w:rPr>
          <w:rFonts w:hint="eastAsia" w:ascii="仿宋_GB2312" w:eastAsia="仿宋_GB2312"/>
          <w:sz w:val="32"/>
          <w:szCs w:val="32"/>
        </w:rPr>
        <w:t>万元，决算数</w:t>
      </w:r>
      <w:r>
        <w:rPr>
          <w:rFonts w:hint="eastAsia" w:ascii="仿宋_GB2312" w:eastAsia="仿宋_GB2312"/>
          <w:sz w:val="32"/>
          <w:szCs w:val="32"/>
          <w:lang w:val="zh-CN"/>
        </w:rPr>
        <w:t>1,668.45</w:t>
      </w:r>
      <w:r>
        <w:rPr>
          <w:rFonts w:hint="eastAsia" w:ascii="仿宋_GB2312" w:eastAsia="仿宋_GB2312"/>
          <w:sz w:val="32"/>
          <w:szCs w:val="32"/>
        </w:rPr>
        <w:t>万元，预决算差异率</w:t>
      </w:r>
      <w:r>
        <w:rPr>
          <w:rFonts w:hint="eastAsia" w:ascii="仿宋_GB2312" w:eastAsia="仿宋_GB2312"/>
          <w:sz w:val="32"/>
          <w:szCs w:val="32"/>
          <w:lang w:val="zh-CN"/>
        </w:rPr>
        <w:t>14.28%</w:t>
      </w:r>
      <w:r>
        <w:rPr>
          <w:rFonts w:hint="eastAsia" w:ascii="仿宋_GB2312" w:eastAsia="仿宋_GB2312"/>
          <w:sz w:val="32"/>
          <w:szCs w:val="32"/>
        </w:rPr>
        <w:t>，主要原因是：</w:t>
      </w:r>
      <w:r>
        <w:rPr>
          <w:rFonts w:hint="eastAsia" w:ascii="仿宋_GB2312" w:eastAsia="仿宋_GB2312"/>
          <w:sz w:val="32"/>
          <w:szCs w:val="32"/>
          <w:lang w:val="en-US" w:eastAsia="zh-CN"/>
        </w:rPr>
        <w:t>年中追加</w:t>
      </w:r>
      <w:r>
        <w:rPr>
          <w:rFonts w:hint="eastAsia" w:ascii="仿宋_GB2312" w:eastAsia="仿宋_GB2312"/>
          <w:kern w:val="2"/>
          <w:sz w:val="32"/>
          <w:szCs w:val="32"/>
          <w:lang w:val="zh-CN"/>
        </w:rPr>
        <w:t>人口抽样调查</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w:t>
      </w:r>
      <w:r>
        <w:rPr>
          <w:rFonts w:hint="eastAsia" w:eastAsia="仿宋_GB2312"/>
          <w:sz w:val="32"/>
          <w:szCs w:val="32"/>
        </w:rPr>
        <w:t>统计局第五次全国经济普查工作</w:t>
      </w:r>
      <w:r>
        <w:rPr>
          <w:rFonts w:hint="eastAsia" w:eastAsia="仿宋_GB2312"/>
          <w:sz w:val="32"/>
          <w:szCs w:val="32"/>
          <w:lang w:val="en-US" w:eastAsia="zh-CN"/>
        </w:rPr>
        <w:t>项目</w:t>
      </w:r>
      <w:r>
        <w:rPr>
          <w:rFonts w:hint="eastAsia" w:eastAsia="仿宋_GB2312"/>
          <w:sz w:val="32"/>
          <w:szCs w:val="32"/>
        </w:rPr>
        <w:t>经费</w:t>
      </w:r>
      <w:r>
        <w:rPr>
          <w:rFonts w:hint="eastAsia" w:eastAsia="仿宋_GB2312"/>
          <w:sz w:val="32"/>
          <w:szCs w:val="32"/>
          <w:lang w:eastAsia="zh-CN"/>
        </w:rPr>
        <w:t>、</w:t>
      </w:r>
      <w:r>
        <w:rPr>
          <w:rFonts w:hint="eastAsia" w:eastAsia="仿宋_GB2312"/>
          <w:sz w:val="32"/>
          <w:szCs w:val="32"/>
        </w:rPr>
        <w:t>统计局第五次经济普查“两员”补助经费</w:t>
      </w:r>
      <w:r>
        <w:rPr>
          <w:rFonts w:hint="eastAsia" w:ascii="仿宋_GB2312" w:eastAsia="仿宋_GB2312"/>
          <w:sz w:val="32"/>
          <w:szCs w:val="32"/>
        </w:rPr>
        <w:t>。</w:t>
      </w:r>
    </w:p>
    <w:p w14:paraId="457AE96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757F9EB">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1,394.21</w:t>
      </w:r>
      <w:r>
        <w:rPr>
          <w:rFonts w:ascii="仿宋_GB2312" w:eastAsia="仿宋_GB2312"/>
          <w:kern w:val="2"/>
          <w:sz w:val="32"/>
          <w:szCs w:val="32"/>
          <w:lang w:val="zh-CN"/>
        </w:rPr>
        <w:t>万元，占</w:t>
      </w:r>
      <w:r>
        <w:rPr>
          <w:rFonts w:hint="eastAsia" w:ascii="仿宋_GB2312" w:eastAsia="仿宋_GB2312"/>
          <w:kern w:val="2"/>
          <w:sz w:val="32"/>
          <w:szCs w:val="32"/>
          <w:lang w:val="zh-CN"/>
        </w:rPr>
        <w:t>83.56</w:t>
      </w:r>
      <w:r>
        <w:rPr>
          <w:rFonts w:ascii="仿宋_GB2312" w:eastAsia="仿宋_GB2312"/>
          <w:kern w:val="2"/>
          <w:sz w:val="32"/>
          <w:szCs w:val="32"/>
          <w:lang w:val="zh-CN"/>
        </w:rPr>
        <w:t>%；</w:t>
      </w:r>
    </w:p>
    <w:p w14:paraId="4214589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175.69</w:t>
      </w:r>
      <w:r>
        <w:rPr>
          <w:rFonts w:ascii="仿宋_GB2312" w:eastAsia="仿宋_GB2312"/>
          <w:kern w:val="2"/>
          <w:sz w:val="32"/>
          <w:szCs w:val="32"/>
          <w:lang w:val="zh-CN"/>
        </w:rPr>
        <w:t>万元，占</w:t>
      </w:r>
      <w:r>
        <w:rPr>
          <w:rFonts w:hint="eastAsia" w:ascii="仿宋_GB2312" w:eastAsia="仿宋_GB2312"/>
          <w:kern w:val="2"/>
          <w:sz w:val="32"/>
          <w:szCs w:val="32"/>
          <w:lang w:val="zh-CN"/>
        </w:rPr>
        <w:t>10.53</w:t>
      </w:r>
      <w:r>
        <w:rPr>
          <w:rFonts w:ascii="仿宋_GB2312" w:eastAsia="仿宋_GB2312"/>
          <w:kern w:val="2"/>
          <w:sz w:val="32"/>
          <w:szCs w:val="32"/>
          <w:lang w:val="zh-CN"/>
        </w:rPr>
        <w:t>%；</w:t>
      </w:r>
    </w:p>
    <w:p w14:paraId="046FE69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81.47</w:t>
      </w:r>
      <w:r>
        <w:rPr>
          <w:rFonts w:ascii="仿宋_GB2312" w:eastAsia="仿宋_GB2312"/>
          <w:kern w:val="2"/>
          <w:sz w:val="32"/>
          <w:szCs w:val="32"/>
          <w:lang w:val="zh-CN"/>
        </w:rPr>
        <w:t>万元，占</w:t>
      </w:r>
      <w:r>
        <w:rPr>
          <w:rFonts w:hint="eastAsia" w:ascii="仿宋_GB2312" w:eastAsia="仿宋_GB2312"/>
          <w:kern w:val="2"/>
          <w:sz w:val="32"/>
          <w:szCs w:val="32"/>
          <w:lang w:val="zh-CN"/>
        </w:rPr>
        <w:t>4.88</w:t>
      </w:r>
      <w:r>
        <w:rPr>
          <w:rFonts w:ascii="仿宋_GB2312" w:eastAsia="仿宋_GB2312"/>
          <w:kern w:val="2"/>
          <w:sz w:val="32"/>
          <w:szCs w:val="32"/>
          <w:lang w:val="zh-CN"/>
        </w:rPr>
        <w:t>%；</w:t>
      </w:r>
    </w:p>
    <w:p w14:paraId="77AB8D9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17.08</w:t>
      </w:r>
      <w:r>
        <w:rPr>
          <w:rFonts w:ascii="仿宋_GB2312" w:eastAsia="仿宋_GB2312"/>
          <w:kern w:val="2"/>
          <w:sz w:val="32"/>
          <w:szCs w:val="32"/>
          <w:lang w:val="zh-CN"/>
        </w:rPr>
        <w:t>万元，占</w:t>
      </w:r>
      <w:r>
        <w:rPr>
          <w:rFonts w:hint="eastAsia" w:ascii="仿宋_GB2312" w:eastAsia="仿宋_GB2312"/>
          <w:kern w:val="2"/>
          <w:sz w:val="32"/>
          <w:szCs w:val="32"/>
          <w:lang w:val="zh-CN"/>
        </w:rPr>
        <w:t>1.02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31F4A58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17DEFC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1.住房保障支出（类）住房改革支出（款）住房公积金（项）:支出决算数为81.47万元，比上年决算增加1.92万元，增长2.41%，主要原因是：</w:t>
      </w:r>
      <w:r>
        <w:rPr>
          <w:rFonts w:hint="eastAsia" w:eastAsia="仿宋_GB2312"/>
          <w:sz w:val="32"/>
          <w:szCs w:val="32"/>
        </w:rPr>
        <w:t>单位本年人员工资调增，人员公积金缴费增加</w:t>
      </w:r>
      <w:r>
        <w:rPr>
          <w:rFonts w:hint="eastAsia" w:ascii="仿宋_GB2312" w:eastAsia="仿宋_GB2312"/>
          <w:kern w:val="2"/>
          <w:sz w:val="32"/>
          <w:szCs w:val="32"/>
          <w:lang w:val="zh-CN"/>
        </w:rPr>
        <w:t>。</w:t>
      </w:r>
    </w:p>
    <w:p w14:paraId="276360D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2.社会保障和就业支出（类）抚恤（款）死亡抚恤（项）:支出决算数为27.33万元，比上年决算减少5.52万元，下降16.80%，主要原因是：单位本年人员丧葬费、抚恤金补助较上年</w:t>
      </w:r>
      <w:r>
        <w:rPr>
          <w:rFonts w:hint="eastAsia" w:ascii="仿宋_GB2312" w:eastAsia="仿宋_GB2312"/>
          <w:kern w:val="2"/>
          <w:sz w:val="32"/>
          <w:szCs w:val="32"/>
          <w:lang w:val="en-US" w:eastAsia="zh-CN"/>
        </w:rPr>
        <w:t>减少</w:t>
      </w:r>
      <w:r>
        <w:rPr>
          <w:rFonts w:hint="eastAsia" w:ascii="仿宋_GB2312" w:eastAsia="仿宋_GB2312"/>
          <w:kern w:val="2"/>
          <w:sz w:val="32"/>
          <w:szCs w:val="32"/>
          <w:lang w:val="zh-CN"/>
        </w:rPr>
        <w:t>。</w:t>
      </w:r>
    </w:p>
    <w:p w14:paraId="2A869B2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3.一般公共服务支出（类）统计信息事务（款）统计抽样调查（项）:支出决算数为0.75万元，比上年决算增加0.75万元，增长100%，主要原因是：本年增加人口抽样调查</w:t>
      </w:r>
      <w:r>
        <w:rPr>
          <w:rFonts w:hint="eastAsia" w:ascii="仿宋_GB2312" w:eastAsia="仿宋_GB2312"/>
          <w:kern w:val="2"/>
          <w:sz w:val="32"/>
          <w:szCs w:val="32"/>
          <w:lang w:val="en-US" w:eastAsia="zh-CN"/>
        </w:rPr>
        <w:t>项目</w:t>
      </w:r>
      <w:r>
        <w:rPr>
          <w:rFonts w:hint="eastAsia" w:ascii="仿宋_GB2312" w:eastAsia="仿宋_GB2312"/>
          <w:kern w:val="2"/>
          <w:sz w:val="32"/>
          <w:szCs w:val="32"/>
          <w:lang w:val="zh-CN"/>
        </w:rPr>
        <w:t>经费。</w:t>
      </w:r>
    </w:p>
    <w:p w14:paraId="08FBF85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4.社会保障和就业支出（类）行政事业单位养老支出（款）事业单位离退休（项）:支出决算数为2.24万元，比上年决算增加2.24万元，增长100%，主要原因是：</w:t>
      </w:r>
      <w:r>
        <w:rPr>
          <w:rFonts w:hint="eastAsia" w:eastAsia="仿宋_GB2312"/>
          <w:sz w:val="32"/>
          <w:szCs w:val="32"/>
        </w:rPr>
        <w:t>本年退休人员增加，退休人员取暖费、交通补助费用增加</w:t>
      </w:r>
      <w:r>
        <w:rPr>
          <w:rFonts w:hint="eastAsia" w:ascii="仿宋_GB2312" w:eastAsia="仿宋_GB2312"/>
          <w:kern w:val="2"/>
          <w:sz w:val="32"/>
          <w:szCs w:val="32"/>
          <w:lang w:val="zh-CN"/>
        </w:rPr>
        <w:t>。</w:t>
      </w:r>
    </w:p>
    <w:p w14:paraId="4573307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5.社会保障和就业支出（类）行政事业单位养老支出（款）行政单位离退休（项）:支出决算数为14.83万元，比上年决算增加8.22万元，增长124.36%，主要原因是：</w:t>
      </w:r>
      <w:r>
        <w:rPr>
          <w:rFonts w:hint="eastAsia" w:eastAsia="仿宋_GB2312"/>
          <w:sz w:val="32"/>
          <w:szCs w:val="32"/>
        </w:rPr>
        <w:t>本年退休人员增加，退休人员取暖费、交通补助费用增加</w:t>
      </w:r>
      <w:r>
        <w:rPr>
          <w:rFonts w:hint="eastAsia" w:ascii="仿宋_GB2312" w:eastAsia="仿宋_GB2312"/>
          <w:kern w:val="2"/>
          <w:sz w:val="32"/>
          <w:szCs w:val="32"/>
          <w:lang w:val="zh-CN"/>
        </w:rPr>
        <w:t>。</w:t>
      </w:r>
    </w:p>
    <w:p w14:paraId="6F183A8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6.社会保障和就业支出（类）行政事业单位养老支出（款）机关事业单位职业年金缴费支出（项）:支出决算数为34.39万元，比上年决算增加10.41万元，增长43.41%，主要原因是：</w:t>
      </w:r>
      <w:r>
        <w:rPr>
          <w:rFonts w:hint="eastAsia" w:eastAsia="仿宋_GB2312"/>
          <w:sz w:val="32"/>
          <w:szCs w:val="32"/>
        </w:rPr>
        <w:t>本年退休人员增加</w:t>
      </w:r>
      <w:r>
        <w:rPr>
          <w:rFonts w:hint="eastAsia" w:eastAsia="仿宋_GB2312"/>
          <w:sz w:val="32"/>
          <w:szCs w:val="32"/>
          <w:lang w:eastAsia="zh-CN"/>
        </w:rPr>
        <w:t>，</w:t>
      </w:r>
      <w:r>
        <w:rPr>
          <w:rFonts w:hint="eastAsia" w:ascii="仿宋_GB2312" w:eastAsia="仿宋_GB2312"/>
          <w:kern w:val="2"/>
          <w:sz w:val="32"/>
          <w:szCs w:val="32"/>
          <w:lang w:val="zh-CN"/>
        </w:rPr>
        <w:t>职业年金</w:t>
      </w:r>
      <w:r>
        <w:rPr>
          <w:rFonts w:hint="eastAsia" w:ascii="仿宋_GB2312" w:eastAsia="仿宋_GB2312"/>
          <w:kern w:val="2"/>
          <w:sz w:val="32"/>
          <w:szCs w:val="32"/>
          <w:lang w:val="en-US" w:eastAsia="zh-CN"/>
        </w:rPr>
        <w:t>缴费增加</w:t>
      </w:r>
      <w:r>
        <w:rPr>
          <w:rFonts w:hint="eastAsia" w:ascii="仿宋_GB2312" w:eastAsia="仿宋_GB2312"/>
          <w:kern w:val="2"/>
          <w:sz w:val="32"/>
          <w:szCs w:val="32"/>
          <w:lang w:val="zh-CN"/>
        </w:rPr>
        <w:t>。</w:t>
      </w:r>
    </w:p>
    <w:p w14:paraId="0F89FDF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7.社会保障和就业支出（类）行政事业单位养老支出（款）机关事业单位基本养老保险缴费支出（项）:支出决算数为96.90万元，比上年决算减少0.19万元，下降0.20%，主要原因是：单位本年新进人员职级低，新进人员</w:t>
      </w:r>
      <w:r>
        <w:rPr>
          <w:rFonts w:hint="eastAsia" w:ascii="仿宋_GB2312" w:eastAsia="仿宋_GB2312"/>
          <w:kern w:val="2"/>
          <w:sz w:val="32"/>
          <w:szCs w:val="32"/>
          <w:lang w:val="en-US" w:eastAsia="zh-CN"/>
        </w:rPr>
        <w:t>社保</w:t>
      </w:r>
      <w:r>
        <w:rPr>
          <w:rFonts w:hint="eastAsia" w:ascii="仿宋_GB2312" w:eastAsia="仿宋_GB2312"/>
          <w:kern w:val="2"/>
          <w:sz w:val="32"/>
          <w:szCs w:val="32"/>
          <w:lang w:val="zh-CN"/>
        </w:rPr>
        <w:t>缴费基数低，人员养老保险缴费减少。</w:t>
      </w:r>
    </w:p>
    <w:p w14:paraId="3BE1047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8.一般公共服务支出（类）统计信息事务（款）行政运行（项）:支出决算数为15.05万元，比上年决算增加15.05万元，增长100%，主要原因是：</w:t>
      </w:r>
      <w:r>
        <w:rPr>
          <w:rFonts w:hint="eastAsia" w:eastAsia="仿宋_GB2312"/>
          <w:sz w:val="32"/>
          <w:szCs w:val="32"/>
        </w:rPr>
        <w:t>本年度新增统计局第五次全国经济普查工作</w:t>
      </w:r>
      <w:r>
        <w:rPr>
          <w:rFonts w:hint="eastAsia" w:eastAsia="仿宋_GB2312"/>
          <w:sz w:val="32"/>
          <w:szCs w:val="32"/>
          <w:lang w:val="en-US" w:eastAsia="zh-CN"/>
        </w:rPr>
        <w:t>项目</w:t>
      </w:r>
      <w:r>
        <w:rPr>
          <w:rFonts w:hint="eastAsia" w:eastAsia="仿宋_GB2312"/>
          <w:sz w:val="32"/>
          <w:szCs w:val="32"/>
        </w:rPr>
        <w:t>经费</w:t>
      </w:r>
      <w:r>
        <w:rPr>
          <w:rFonts w:hint="eastAsia" w:ascii="仿宋_GB2312" w:eastAsia="仿宋_GB2312"/>
          <w:kern w:val="2"/>
          <w:sz w:val="32"/>
          <w:szCs w:val="32"/>
          <w:lang w:val="zh-CN"/>
        </w:rPr>
        <w:t>。</w:t>
      </w:r>
    </w:p>
    <w:p w14:paraId="4274F5E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9.一般公共服务支出（类）统计信息事务（款）专项普查活动（项）:支出决算数为5.21万元，比上年决算增加5.21万元，增长100%，主要原因是：</w:t>
      </w:r>
      <w:r>
        <w:rPr>
          <w:rFonts w:hint="eastAsia" w:eastAsia="仿宋_GB2312"/>
          <w:sz w:val="32"/>
          <w:szCs w:val="32"/>
        </w:rPr>
        <w:t>本年度新增统计局第五次经济普查“两员”补助经费</w:t>
      </w:r>
      <w:r>
        <w:rPr>
          <w:rFonts w:hint="eastAsia" w:ascii="仿宋_GB2312" w:eastAsia="仿宋_GB2312"/>
          <w:kern w:val="2"/>
          <w:sz w:val="32"/>
          <w:szCs w:val="32"/>
          <w:lang w:val="zh-CN"/>
        </w:rPr>
        <w:t>。</w:t>
      </w:r>
    </w:p>
    <w:p w14:paraId="1C09E93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10.一般公共服务支出（类）政府办公厅（室）及相关机构事务（款）信访事务（项）:支出决算数为160.97万元，比上年决算增加118.67万元，增长280.54%，主要原因是：</w:t>
      </w:r>
      <w:r>
        <w:rPr>
          <w:rFonts w:hint="eastAsia" w:ascii="仿宋_GB2312" w:eastAsia="仿宋_GB2312"/>
          <w:kern w:val="2"/>
          <w:sz w:val="32"/>
          <w:szCs w:val="32"/>
          <w:lang w:val="en-US" w:eastAsia="zh-CN"/>
        </w:rPr>
        <w:t>单位</w:t>
      </w:r>
      <w:r>
        <w:rPr>
          <w:rFonts w:hint="eastAsia" w:ascii="仿宋_GB2312" w:eastAsia="仿宋_GB2312"/>
          <w:kern w:val="2"/>
          <w:sz w:val="32"/>
          <w:szCs w:val="32"/>
          <w:lang w:val="zh-CN"/>
        </w:rPr>
        <w:t>本年信访项</w:t>
      </w:r>
      <w:r>
        <w:rPr>
          <w:rFonts w:hint="eastAsia" w:eastAsia="仿宋_GB2312"/>
          <w:sz w:val="32"/>
          <w:szCs w:val="32"/>
        </w:rPr>
        <w:t>目资金</w:t>
      </w:r>
      <w:r>
        <w:rPr>
          <w:rFonts w:hint="eastAsia" w:eastAsia="仿宋_GB2312"/>
          <w:sz w:val="32"/>
          <w:szCs w:val="32"/>
          <w:lang w:val="en-US" w:eastAsia="zh-CN"/>
        </w:rPr>
        <w:t>较上年增加</w:t>
      </w:r>
      <w:r>
        <w:rPr>
          <w:rFonts w:hint="eastAsia" w:ascii="仿宋_GB2312" w:eastAsia="仿宋_GB2312"/>
          <w:kern w:val="2"/>
          <w:sz w:val="32"/>
          <w:szCs w:val="32"/>
          <w:lang w:val="zh-CN"/>
        </w:rPr>
        <w:t>。</w:t>
      </w:r>
    </w:p>
    <w:p w14:paraId="4343F3F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11.一般公共服务支出（类）统计信息事务（款）统计管理（项）:支出决算数为17.64万元，比上年决算增加10.20万元，增长137.10%，主要原因是：</w:t>
      </w:r>
      <w:r>
        <w:rPr>
          <w:rFonts w:hint="eastAsia" w:eastAsia="仿宋_GB2312"/>
          <w:sz w:val="32"/>
          <w:szCs w:val="32"/>
        </w:rPr>
        <w:t>本年度新增</w:t>
      </w:r>
      <w:r>
        <w:rPr>
          <w:rFonts w:hint="eastAsia" w:eastAsia="仿宋_GB2312"/>
          <w:sz w:val="32"/>
          <w:szCs w:val="32"/>
          <w:lang w:val="zh-CN"/>
        </w:rPr>
        <w:t>国家统计局昌吉调查队专项经费</w:t>
      </w:r>
      <w:r>
        <w:rPr>
          <w:rFonts w:hint="eastAsia" w:ascii="仿宋_GB2312" w:eastAsia="仿宋_GB2312"/>
          <w:kern w:val="2"/>
          <w:sz w:val="32"/>
          <w:szCs w:val="32"/>
          <w:lang w:val="zh-CN"/>
        </w:rPr>
        <w:t>。</w:t>
      </w:r>
    </w:p>
    <w:p w14:paraId="20F210B0">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12.一般公共服务支出（类）政府办公厅（室）及相关机构事务（款）事业运行（项）:支出决算数为298.74万元，比上年决算增加13.54万元，增长4.75%，主要原因是：</w:t>
      </w:r>
      <w:r>
        <w:rPr>
          <w:rFonts w:hint="eastAsia" w:eastAsia="仿宋_GB2312"/>
          <w:sz w:val="32"/>
          <w:szCs w:val="32"/>
          <w:lang w:val="en-US" w:eastAsia="zh-CN"/>
        </w:rPr>
        <w:t>单位本年在职人员工资调增，工资、津贴补贴、奖金等相关人员经费</w:t>
      </w:r>
      <w:r>
        <w:rPr>
          <w:rFonts w:hint="eastAsia" w:eastAsia="仿宋_GB2312"/>
          <w:sz w:val="32"/>
          <w:szCs w:val="32"/>
        </w:rPr>
        <w:t>增加</w:t>
      </w:r>
      <w:r>
        <w:rPr>
          <w:rFonts w:hint="eastAsia" w:ascii="仿宋_GB2312" w:eastAsia="仿宋_GB2312"/>
          <w:kern w:val="2"/>
          <w:sz w:val="32"/>
          <w:szCs w:val="32"/>
          <w:lang w:val="zh-CN"/>
        </w:rPr>
        <w:t>。</w:t>
      </w:r>
    </w:p>
    <w:p w14:paraId="0176E2E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13.一般公共服务支出（类）政府办公厅（室）及相关机构事务（款）行政运行（项）:支出决算数为895.85万元，比上年决算减少18.30万元，下降2.00%，主要原因是：本年</w:t>
      </w:r>
      <w:r>
        <w:rPr>
          <w:rFonts w:hint="eastAsia" w:ascii="仿宋_GB2312" w:eastAsia="仿宋_GB2312"/>
          <w:kern w:val="2"/>
          <w:sz w:val="32"/>
          <w:szCs w:val="32"/>
          <w:lang w:val="en-US" w:eastAsia="zh-CN"/>
        </w:rPr>
        <w:t>长聘人员工资福利费用较上年</w:t>
      </w:r>
      <w:r>
        <w:rPr>
          <w:rFonts w:hint="eastAsia" w:ascii="仿宋_GB2312" w:eastAsia="仿宋_GB2312"/>
          <w:kern w:val="2"/>
          <w:sz w:val="32"/>
          <w:szCs w:val="32"/>
          <w:lang w:val="zh-CN"/>
        </w:rPr>
        <w:t>减少。</w:t>
      </w:r>
    </w:p>
    <w:p w14:paraId="48EB0C1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14.其他支出（类）其他支出（款）其他支出（项）:支出决算数为17.08万元，比上年决算增加6.36万元，增长59.33%，主要原因是：</w:t>
      </w:r>
      <w:r>
        <w:rPr>
          <w:rFonts w:hint="eastAsia" w:eastAsia="仿宋_GB2312"/>
          <w:sz w:val="32"/>
          <w:szCs w:val="32"/>
        </w:rPr>
        <w:t>本年度统计局</w:t>
      </w:r>
      <w:r>
        <w:rPr>
          <w:rFonts w:hint="eastAsia" w:eastAsia="仿宋_GB2312"/>
          <w:sz w:val="32"/>
          <w:szCs w:val="32"/>
          <w:lang w:val="zh-CN"/>
        </w:rPr>
        <w:t>驻村工作队</w:t>
      </w:r>
      <w:r>
        <w:rPr>
          <w:rFonts w:hint="eastAsia" w:eastAsia="仿宋_GB2312"/>
          <w:sz w:val="32"/>
          <w:szCs w:val="32"/>
          <w:lang w:val="en-US" w:eastAsia="zh-CN"/>
        </w:rPr>
        <w:t>项目</w:t>
      </w:r>
      <w:r>
        <w:rPr>
          <w:rFonts w:hint="eastAsia" w:eastAsia="仿宋_GB2312"/>
          <w:sz w:val="32"/>
          <w:szCs w:val="32"/>
          <w:lang w:val="zh-CN"/>
        </w:rPr>
        <w:t>经费</w:t>
      </w:r>
      <w:r>
        <w:rPr>
          <w:rFonts w:hint="eastAsia" w:eastAsia="仿宋_GB2312"/>
          <w:sz w:val="32"/>
          <w:szCs w:val="32"/>
        </w:rPr>
        <w:t>增加</w:t>
      </w:r>
      <w:r>
        <w:rPr>
          <w:rFonts w:hint="eastAsia" w:ascii="仿宋_GB2312" w:eastAsia="仿宋_GB2312"/>
          <w:kern w:val="2"/>
          <w:sz w:val="32"/>
          <w:szCs w:val="32"/>
          <w:lang w:val="zh-CN"/>
        </w:rPr>
        <w:t>。</w:t>
      </w:r>
    </w:p>
    <w:p w14:paraId="7C3B77D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15.一般公共服务支出（类）统计信息事务（款）专项统计业务（项）:支出决算数为0.00万元，比上年决算减少9.88万元，下降100%，主要原因是：</w:t>
      </w:r>
      <w:r>
        <w:rPr>
          <w:rFonts w:hint="eastAsia" w:eastAsia="仿宋_GB2312"/>
          <w:sz w:val="32"/>
          <w:szCs w:val="32"/>
        </w:rPr>
        <w:t>单位本年减少城镇化率调查经费</w:t>
      </w:r>
      <w:r>
        <w:rPr>
          <w:rFonts w:hint="eastAsia" w:eastAsia="仿宋_GB2312"/>
          <w:sz w:val="32"/>
          <w:szCs w:val="32"/>
          <w:lang w:val="en-US" w:eastAsia="zh-CN"/>
        </w:rPr>
        <w:t>和</w:t>
      </w:r>
      <w:r>
        <w:rPr>
          <w:rFonts w:hint="eastAsia" w:eastAsia="仿宋_GB2312"/>
          <w:sz w:val="32"/>
          <w:szCs w:val="32"/>
        </w:rPr>
        <w:t>统计专项业务</w:t>
      </w:r>
      <w:r>
        <w:rPr>
          <w:rFonts w:hint="eastAsia" w:eastAsia="仿宋_GB2312"/>
          <w:sz w:val="32"/>
          <w:szCs w:val="32"/>
          <w:lang w:val="en-US" w:eastAsia="zh-CN"/>
        </w:rPr>
        <w:t>项目</w:t>
      </w:r>
      <w:r>
        <w:rPr>
          <w:rFonts w:hint="eastAsia" w:eastAsia="仿宋_GB2312"/>
          <w:sz w:val="32"/>
          <w:szCs w:val="32"/>
        </w:rPr>
        <w:t>经费</w:t>
      </w:r>
      <w:r>
        <w:rPr>
          <w:rFonts w:hint="eastAsia" w:ascii="仿宋_GB2312" w:eastAsia="仿宋_GB2312"/>
          <w:kern w:val="2"/>
          <w:sz w:val="32"/>
          <w:szCs w:val="32"/>
          <w:lang w:val="zh-CN"/>
        </w:rPr>
        <w:t>。</w:t>
      </w:r>
    </w:p>
    <w:p w14:paraId="107256B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D758705">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1,475.28万元，其中：人员经费1,167.09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7EDEDF51">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308.19万元，包括：办公费、印刷费、水费、电费、邮电费、取暖费、差旅费、维修（护）费、租赁费、会议费、劳务费、委托业务费、工会经费、公务用车运行维护费、其他商品和服务支出、办公设备购置、专用设备购置、公务用车购置、其他交通工具购置。</w:t>
      </w:r>
    </w:p>
    <w:p w14:paraId="472A289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7637CE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“三公”经费支出71.14万元，</w:t>
      </w:r>
      <w:r>
        <w:rPr>
          <w:rFonts w:hint="eastAsia" w:ascii="仿宋_GB2312" w:eastAsia="仿宋_GB2312"/>
          <w:sz w:val="32"/>
          <w:szCs w:val="32"/>
        </w:rPr>
        <w:t>比上年</w:t>
      </w:r>
      <w:r>
        <w:rPr>
          <w:rFonts w:hint="eastAsia" w:ascii="仿宋_GB2312" w:eastAsia="仿宋_GB2312"/>
          <w:sz w:val="32"/>
          <w:szCs w:val="32"/>
          <w:lang w:val="zh-CN"/>
        </w:rPr>
        <w:t>减少6.68万元，</w:t>
      </w:r>
      <w:r>
        <w:rPr>
          <w:rFonts w:hint="eastAsia" w:ascii="仿宋_GB2312" w:eastAsia="仿宋_GB2312"/>
          <w:sz w:val="32"/>
          <w:szCs w:val="32"/>
        </w:rPr>
        <w:t>下降8.58%,</w:t>
      </w:r>
      <w:r>
        <w:rPr>
          <w:rFonts w:hint="eastAsia" w:ascii="仿宋_GB2312" w:eastAsia="仿宋_GB2312"/>
          <w:sz w:val="32"/>
          <w:szCs w:val="32"/>
          <w:lang w:val="zh-CN"/>
        </w:rPr>
        <w:t>主要原因是：本年</w:t>
      </w:r>
      <w:r>
        <w:rPr>
          <w:rFonts w:hint="eastAsia" w:ascii="仿宋_GB2312" w:eastAsia="仿宋_GB2312"/>
          <w:sz w:val="32"/>
          <w:szCs w:val="32"/>
          <w:lang w:val="en-US" w:eastAsia="zh-CN"/>
        </w:rPr>
        <w:t>车辆出行次数减少，</w:t>
      </w:r>
      <w:r>
        <w:rPr>
          <w:rFonts w:hint="eastAsia" w:ascii="仿宋_GB2312" w:eastAsia="仿宋_GB2312"/>
          <w:sz w:val="32"/>
          <w:szCs w:val="32"/>
          <w:lang w:val="zh-CN"/>
        </w:rPr>
        <w:t>车辆燃油</w:t>
      </w:r>
      <w:r>
        <w:rPr>
          <w:rFonts w:hint="eastAsia" w:ascii="仿宋_GB2312" w:eastAsia="仿宋_GB2312"/>
          <w:sz w:val="32"/>
          <w:szCs w:val="32"/>
          <w:lang w:val="en-US" w:eastAsia="zh-CN"/>
        </w:rPr>
        <w:t>费、</w:t>
      </w:r>
      <w:r>
        <w:rPr>
          <w:rFonts w:hint="eastAsia" w:ascii="仿宋_GB2312" w:eastAsia="仿宋_GB2312"/>
          <w:sz w:val="32"/>
          <w:szCs w:val="32"/>
          <w:lang w:val="zh-CN"/>
        </w:rPr>
        <w:t>维修维护费等减少；单位本年接待次数、人数减少，接待费用减少。其中：因公出国（境）费支出0.00万元，占0.00%，比上年增加0.00万元，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主要原因是：本年我单位无此经费；公务用车购置及运行维护费支出71.14万元，占100.00%，比上年减少6.33万元，</w:t>
      </w:r>
      <w:r>
        <w:rPr>
          <w:rFonts w:hint="eastAsia" w:ascii="仿宋_GB2312" w:eastAsia="仿宋_GB2312"/>
          <w:sz w:val="32"/>
          <w:szCs w:val="32"/>
        </w:rPr>
        <w:t>下降8.17%,</w:t>
      </w:r>
      <w:r>
        <w:rPr>
          <w:rFonts w:hint="eastAsia" w:ascii="仿宋_GB2312" w:eastAsia="仿宋_GB2312"/>
          <w:sz w:val="32"/>
          <w:szCs w:val="32"/>
          <w:lang w:val="zh-CN"/>
        </w:rPr>
        <w:t>主要原因是：本年</w:t>
      </w:r>
      <w:r>
        <w:rPr>
          <w:rFonts w:hint="eastAsia" w:ascii="仿宋_GB2312" w:eastAsia="仿宋_GB2312"/>
          <w:sz w:val="32"/>
          <w:szCs w:val="32"/>
          <w:lang w:val="en-US" w:eastAsia="zh-CN"/>
        </w:rPr>
        <w:t>车辆出行次数减少，</w:t>
      </w:r>
      <w:r>
        <w:rPr>
          <w:rFonts w:hint="eastAsia" w:ascii="仿宋_GB2312" w:eastAsia="仿宋_GB2312"/>
          <w:sz w:val="32"/>
          <w:szCs w:val="32"/>
          <w:lang w:val="zh-CN"/>
        </w:rPr>
        <w:t>车辆燃油</w:t>
      </w:r>
      <w:r>
        <w:rPr>
          <w:rFonts w:hint="eastAsia" w:ascii="仿宋_GB2312" w:eastAsia="仿宋_GB2312"/>
          <w:sz w:val="32"/>
          <w:szCs w:val="32"/>
          <w:lang w:val="en-US" w:eastAsia="zh-CN"/>
        </w:rPr>
        <w:t>费、</w:t>
      </w:r>
      <w:r>
        <w:rPr>
          <w:rFonts w:hint="eastAsia" w:ascii="仿宋_GB2312" w:eastAsia="仿宋_GB2312"/>
          <w:sz w:val="32"/>
          <w:szCs w:val="32"/>
          <w:lang w:val="zh-CN"/>
        </w:rPr>
        <w:t>维修维护费等减少；公务接待费支出0.00万元，占0.00%，比上年减少0.35万元，</w:t>
      </w:r>
      <w:r>
        <w:rPr>
          <w:rFonts w:hint="eastAsia" w:ascii="仿宋_GB2312" w:eastAsia="仿宋_GB2312"/>
          <w:sz w:val="32"/>
          <w:szCs w:val="32"/>
        </w:rPr>
        <w:t>下降100.00%,</w:t>
      </w:r>
      <w:r>
        <w:rPr>
          <w:rFonts w:hint="eastAsia" w:ascii="仿宋_GB2312" w:eastAsia="仿宋_GB2312"/>
          <w:sz w:val="32"/>
          <w:szCs w:val="32"/>
          <w:lang w:val="zh-CN"/>
        </w:rPr>
        <w:t>主要原因是：单位本年接待次数、人数减少，接待费用减少。</w:t>
      </w:r>
    </w:p>
    <w:p w14:paraId="7EBA5F4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4EE753E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因公出国（境）费支出0.00万元，开支内容包括本年我单位无此经费。单位全年安排的因公出国（境）团组0个，因公出国（境）0人次。</w:t>
      </w:r>
    </w:p>
    <w:p w14:paraId="1B8ACF03">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71.14万元，其中：公务用车购置费35.34万元，公务用车运行维护费35.80万元。公务用车运行维护费开支内容包括公务用车燃油费、车辆维修维护费、保险费、过路费等。公务用车购置数3辆，公务用车保有量5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8辆，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原因是：差异车辆为一般业务用车3辆，车辆费用未使用财政拨款公务用车运行维护费支付。</w:t>
      </w:r>
    </w:p>
    <w:p w14:paraId="373476D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公务接待费0.00万元，开支内容包括本年我单位无此经费。单位全年安排的国内公务接待0批次，0人次。</w:t>
      </w:r>
    </w:p>
    <w:p w14:paraId="72C0CEC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预算数71.14万元，决算数71.14万元，预决算差异率0.00%，主要原因是：严格按预算执行，预决算对比无差异。其中：因公出国（境）费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0.00万元，决算数0.00万元，预决算差异率0.00%，主要原因是：本年我单位无此经费；公务用车购置费</w:t>
      </w:r>
      <w:r>
        <w:rPr>
          <w:rFonts w:hint="eastAsia" w:ascii="仿宋_GB2312" w:eastAsia="仿宋_GB2312"/>
          <w:sz w:val="32"/>
          <w:szCs w:val="32"/>
        </w:rPr>
        <w:t>全年</w:t>
      </w:r>
      <w:r>
        <w:rPr>
          <w:rFonts w:hint="eastAsia" w:ascii="仿宋_GB2312" w:eastAsia="仿宋_GB2312"/>
          <w:sz w:val="32"/>
          <w:szCs w:val="32"/>
          <w:lang w:val="zh-CN"/>
        </w:rPr>
        <w:t>预算数35.34万元，决算数35.34万元，预决算差异率0.00%，主要原因是：严格按预算执行，预决算对比无差异；公务用车运行费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预算数35.80万元，决算数35.80万元，预决算差异率0.00%，主要原因是：严格按预算执行，预决算对比无差异；公务接待费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预算数0.00万元，决算数0.00万元，预决算差异率0.00%，主要原因是：本年我单位无此经费。</w:t>
      </w:r>
    </w:p>
    <w:p w14:paraId="69C9A7F8">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7463B65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E12F8E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E7E9F0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684BFE2">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DC21DB6">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4AFABC70">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2023年度木垒哈萨克自治县人民政府办公室（行政单位和参照公务员法管理事业单位）机关运行经费支出308.19万元，比上年增加26.66万元，增长9.47%,主要原因是：本年办公费、取暖费</w:t>
      </w:r>
      <w:r>
        <w:rPr>
          <w:rFonts w:hint="eastAsia" w:ascii="仿宋_GB2312" w:eastAsia="仿宋_GB2312"/>
          <w:sz w:val="32"/>
          <w:szCs w:val="32"/>
          <w:lang w:eastAsia="zh-CN"/>
        </w:rPr>
        <w:t>、</w:t>
      </w:r>
      <w:r>
        <w:rPr>
          <w:rFonts w:hint="eastAsia" w:ascii="仿宋_GB2312" w:eastAsia="仿宋_GB2312"/>
          <w:sz w:val="32"/>
          <w:szCs w:val="32"/>
        </w:rPr>
        <w:t>劳务费、委托业务费等经费增加。</w:t>
      </w:r>
    </w:p>
    <w:p w14:paraId="101BEF21">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AB181AF">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2023年度政府采购支出总额191.46万元，其中：政府采购货物支出136.26万元、政府采购工程支出18.85万元、政府采购服务支出36.35万元。</w:t>
      </w:r>
    </w:p>
    <w:p w14:paraId="26C8CEFF">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授予中小企业合同金额191.46万元，占政府采购支出总额的100.00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，其中：授予小微企业合同金额191.46万元，占政府采购支出总额的100.00</w:t>
      </w:r>
      <w:r>
        <w:rPr>
          <w:rFonts w:ascii="仿宋_GB2312" w:eastAsia="仿宋_GB2312"/>
          <w:sz w:val="32"/>
          <w:szCs w:val="32"/>
        </w:rPr>
        <w:t>%</w:t>
      </w:r>
      <w:r>
        <w:rPr>
          <w:rFonts w:hint="eastAsia" w:ascii="仿宋_GB2312" w:eastAsia="仿宋_GB2312"/>
          <w:sz w:val="32"/>
          <w:szCs w:val="32"/>
        </w:rPr>
        <w:t>。</w:t>
      </w:r>
    </w:p>
    <w:p w14:paraId="00B9DDDD">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758116DD">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898.60万元，房屋290.22平方米，价值91.49万元。车辆8辆，价值152.39万元，其中：副部（省）级及以上领导用车0辆、主要负责人用车0辆、机要通信用车0辆、应急保障用车0辆、执法执勤用车0辆、特种专业技术用车0辆、离退休干部服务用车0辆、其他用车8辆，其他用车主要是：单位业务用车；单价100万元（含）以上设备（不含车辆）0台（套）。</w:t>
      </w:r>
    </w:p>
    <w:p w14:paraId="7457033C">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49241034">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1,668.45</w:t>
      </w:r>
      <w:r>
        <w:rPr>
          <w:rFonts w:hint="eastAsia" w:ascii="仿宋_GB2312" w:eastAsia="仿宋_GB2312"/>
          <w:sz w:val="32"/>
          <w:szCs w:val="32"/>
        </w:rPr>
        <w:t>万元，实际执行总额</w:t>
      </w:r>
      <w:r>
        <w:rPr>
          <w:rFonts w:ascii="仿宋_GB2312" w:eastAsia="仿宋_GB2312"/>
          <w:sz w:val="32"/>
          <w:szCs w:val="32"/>
        </w:rPr>
        <w:t>1,668.45</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预算绩效评价项目1个，全年预算数50.51万元，全年执行数50.51万元。预算绩效管理取得的成效：一是将绩效目标细化到每项资金，将管理责任分解到处具体到人，大大提高了绩效管理的可</w:t>
      </w:r>
      <w:r>
        <w:rPr>
          <w:rFonts w:hint="eastAsia" w:ascii="仿宋_GB2312" w:eastAsia="仿宋_GB2312" w:cs="仿宋_GB2312"/>
          <w:kern w:val="0"/>
          <w:sz w:val="32"/>
          <w:szCs w:val="32"/>
        </w:rPr>
        <w:t>操作性；二是提高了财政资金使用效益，确保各类项目顺利开展</w:t>
      </w:r>
      <w:r>
        <w:rPr>
          <w:rFonts w:hint="eastAsia" w:ascii="仿宋_GB2312" w:eastAsia="仿宋_GB2312"/>
          <w:sz w:val="32"/>
          <w:szCs w:val="32"/>
        </w:rPr>
        <w:t>。发现的问题及原因：</w:t>
      </w:r>
      <w:r>
        <w:rPr>
          <w:rFonts w:hint="eastAsia" w:ascii="仿宋_GB2312" w:eastAsia="仿宋_GB2312" w:cs="仿宋_GB2312"/>
          <w:kern w:val="0"/>
          <w:sz w:val="32"/>
          <w:szCs w:val="32"/>
        </w:rPr>
        <w:t>一是对绩效监控管理指标多样性设计难以把握；二是项目预算编制前期调研、论证不充分，资金需求测算不够仔细</w:t>
      </w:r>
      <w:r>
        <w:rPr>
          <w:rFonts w:hint="eastAsia" w:ascii="仿宋_GB2312" w:eastAsia="仿宋_GB2312"/>
          <w:sz w:val="32"/>
          <w:szCs w:val="32"/>
        </w:rPr>
        <w:t>。下一步改进措施：</w:t>
      </w:r>
      <w:r>
        <w:rPr>
          <w:rFonts w:hint="eastAsia" w:ascii="仿宋_GB2312" w:eastAsia="仿宋_GB2312" w:cs="仿宋_GB2312"/>
          <w:kern w:val="0"/>
          <w:sz w:val="32"/>
          <w:szCs w:val="32"/>
        </w:rPr>
        <w:t>一是改进本部门绩效监控组织、管理、实施方式</w:t>
      </w:r>
      <w:r>
        <w:rPr>
          <w:rFonts w:hint="eastAsia" w:ascii="仿宋_GB2312" w:eastAsia="仿宋_GB2312" w:cs="仿宋_GB2312"/>
          <w:kern w:val="0"/>
          <w:sz w:val="32"/>
          <w:szCs w:val="32"/>
          <w:lang w:eastAsia="zh-CN"/>
        </w:rPr>
        <w:t>等</w:t>
      </w:r>
      <w:r>
        <w:rPr>
          <w:rFonts w:hint="eastAsia" w:ascii="仿宋_GB2312" w:eastAsia="仿宋_GB2312" w:cs="仿宋_GB2312"/>
          <w:kern w:val="0"/>
          <w:sz w:val="32"/>
          <w:szCs w:val="32"/>
        </w:rPr>
        <w:t>思路；二是加强负责绩效监控人员培训力度</w:t>
      </w:r>
      <w:r>
        <w:rPr>
          <w:rFonts w:hint="eastAsia" w:ascii="仿宋_GB2312" w:eastAsia="仿宋_GB2312"/>
          <w:sz w:val="32"/>
          <w:szCs w:val="32"/>
        </w:rPr>
        <w:t>。具体项目自评情况附绩效自评表及自评报告。</w:t>
      </w:r>
    </w:p>
    <w:tbl>
      <w:tblPr>
        <w:tblStyle w:val="9"/>
        <w:tblW w:w="5000" w:type="pct"/>
        <w:tblInd w:w="0" w:type="dxa"/>
        <w:tblLayout w:type="fixed"/>
        <w:tblCellMar>
          <w:top w:w="0" w:type="dxa"/>
          <w:left w:w="108" w:type="dxa"/>
          <w:bottom w:w="0" w:type="dxa"/>
          <w:right w:w="108" w:type="dxa"/>
        </w:tblCellMar>
      </w:tblPr>
      <w:tblGrid>
        <w:gridCol w:w="1129"/>
        <w:gridCol w:w="822"/>
        <w:gridCol w:w="1842"/>
        <w:gridCol w:w="1133"/>
        <w:gridCol w:w="1420"/>
        <w:gridCol w:w="711"/>
        <w:gridCol w:w="850"/>
        <w:gridCol w:w="615"/>
      </w:tblGrid>
      <w:tr w14:paraId="6B402DF3">
        <w:tblPrEx>
          <w:tblCellMar>
            <w:top w:w="0" w:type="dxa"/>
            <w:left w:w="108" w:type="dxa"/>
            <w:bottom w:w="0" w:type="dxa"/>
            <w:right w:w="108" w:type="dxa"/>
          </w:tblCellMar>
        </w:tblPrEx>
        <w:trPr>
          <w:trHeight w:val="522"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BBBB5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7A2925E9">
        <w:tblPrEx>
          <w:tblCellMar>
            <w:top w:w="0" w:type="dxa"/>
            <w:left w:w="108" w:type="dxa"/>
            <w:bottom w:w="0" w:type="dxa"/>
            <w:right w:w="108" w:type="dxa"/>
          </w:tblCellMar>
        </w:tblPrEx>
        <w:trPr>
          <w:trHeight w:val="360" w:hRule="atLeast"/>
        </w:trPr>
        <w:tc>
          <w:tcPr>
            <w:tcW w:w="5000" w:type="pct"/>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182FBB1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68CD39BB">
        <w:tblPrEx>
          <w:tblCellMar>
            <w:top w:w="0" w:type="dxa"/>
            <w:left w:w="108" w:type="dxa"/>
            <w:bottom w:w="0" w:type="dxa"/>
            <w:right w:w="108" w:type="dxa"/>
          </w:tblCellMar>
        </w:tblPrEx>
        <w:trPr>
          <w:trHeight w:val="660" w:hRule="atLeast"/>
        </w:trPr>
        <w:tc>
          <w:tcPr>
            <w:tcW w:w="66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7A063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4337" w:type="pct"/>
            <w:gridSpan w:val="7"/>
            <w:tcBorders>
              <w:top w:val="single" w:color="auto" w:sz="4" w:space="0"/>
              <w:left w:val="nil"/>
              <w:bottom w:val="single" w:color="auto" w:sz="4" w:space="0"/>
              <w:right w:val="single" w:color="auto" w:sz="4" w:space="0"/>
            </w:tcBorders>
            <w:shd w:val="clear" w:color="auto" w:fill="auto"/>
            <w:noWrap/>
            <w:vAlign w:val="center"/>
          </w:tcPr>
          <w:p w14:paraId="7F1878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p>
        </w:tc>
      </w:tr>
      <w:tr w14:paraId="79E399FF">
        <w:tblPrEx>
          <w:tblCellMar>
            <w:top w:w="0" w:type="dxa"/>
            <w:left w:w="108" w:type="dxa"/>
            <w:bottom w:w="0" w:type="dxa"/>
            <w:right w:w="108" w:type="dxa"/>
          </w:tblCellMar>
        </w:tblPrEx>
        <w:trPr>
          <w:trHeight w:val="570" w:hRule="atLeast"/>
        </w:trPr>
        <w:tc>
          <w:tcPr>
            <w:tcW w:w="6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2CA7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482" w:type="pct"/>
            <w:tcBorders>
              <w:top w:val="nil"/>
              <w:left w:val="nil"/>
              <w:bottom w:val="single" w:color="auto" w:sz="4" w:space="0"/>
              <w:right w:val="single" w:color="auto" w:sz="4" w:space="0"/>
            </w:tcBorders>
            <w:shd w:val="clear" w:color="auto" w:fill="auto"/>
            <w:vAlign w:val="center"/>
          </w:tcPr>
          <w:p w14:paraId="6028A1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080" w:type="pct"/>
            <w:tcBorders>
              <w:top w:val="nil"/>
              <w:left w:val="nil"/>
              <w:bottom w:val="single" w:color="auto" w:sz="4" w:space="0"/>
              <w:right w:val="single" w:color="auto" w:sz="4" w:space="0"/>
            </w:tcBorders>
            <w:shd w:val="clear" w:color="auto" w:fill="auto"/>
            <w:vAlign w:val="center"/>
          </w:tcPr>
          <w:p w14:paraId="11B5C6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664" w:type="pct"/>
            <w:tcBorders>
              <w:top w:val="nil"/>
              <w:left w:val="nil"/>
              <w:bottom w:val="single" w:color="auto" w:sz="4" w:space="0"/>
              <w:right w:val="single" w:color="auto" w:sz="4" w:space="0"/>
            </w:tcBorders>
            <w:shd w:val="clear" w:color="auto" w:fill="auto"/>
            <w:vAlign w:val="center"/>
          </w:tcPr>
          <w:p w14:paraId="0597C6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833" w:type="pct"/>
            <w:tcBorders>
              <w:top w:val="nil"/>
              <w:left w:val="nil"/>
              <w:bottom w:val="single" w:color="auto" w:sz="4" w:space="0"/>
              <w:right w:val="single" w:color="auto" w:sz="4" w:space="0"/>
            </w:tcBorders>
            <w:shd w:val="clear" w:color="auto" w:fill="auto"/>
            <w:vAlign w:val="center"/>
          </w:tcPr>
          <w:p w14:paraId="2AA96F5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417" w:type="pct"/>
            <w:tcBorders>
              <w:top w:val="nil"/>
              <w:left w:val="nil"/>
              <w:bottom w:val="single" w:color="auto" w:sz="4" w:space="0"/>
              <w:right w:val="single" w:color="auto" w:sz="4" w:space="0"/>
            </w:tcBorders>
            <w:shd w:val="clear" w:color="auto" w:fill="auto"/>
            <w:vAlign w:val="center"/>
          </w:tcPr>
          <w:p w14:paraId="4120F4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498" w:type="pct"/>
            <w:tcBorders>
              <w:top w:val="nil"/>
              <w:left w:val="nil"/>
              <w:bottom w:val="single" w:color="auto" w:sz="4" w:space="0"/>
              <w:right w:val="single" w:color="auto" w:sz="4" w:space="0"/>
            </w:tcBorders>
            <w:shd w:val="clear" w:color="auto" w:fill="auto"/>
            <w:vAlign w:val="center"/>
          </w:tcPr>
          <w:p w14:paraId="285996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360" w:type="pct"/>
            <w:tcBorders>
              <w:top w:val="nil"/>
              <w:left w:val="nil"/>
              <w:bottom w:val="single" w:color="auto" w:sz="4" w:space="0"/>
              <w:right w:val="single" w:color="auto" w:sz="4" w:space="0"/>
            </w:tcBorders>
            <w:shd w:val="clear" w:color="auto" w:fill="auto"/>
            <w:vAlign w:val="center"/>
          </w:tcPr>
          <w:p w14:paraId="0FEFB4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428ED150">
        <w:tblPrEx>
          <w:tblCellMar>
            <w:top w:w="0" w:type="dxa"/>
            <w:left w:w="108" w:type="dxa"/>
            <w:bottom w:w="0" w:type="dxa"/>
            <w:right w:w="108" w:type="dxa"/>
          </w:tblCellMar>
        </w:tblPrEx>
        <w:trPr>
          <w:trHeight w:val="448"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2B97D129">
            <w:pPr>
              <w:widowControl/>
              <w:jc w:val="left"/>
              <w:rPr>
                <w:rFonts w:hint="eastAsia" w:cs="宋体" w:asciiTheme="minorEastAsia" w:hAnsiTheme="minorEastAsia" w:eastAsiaTheme="minorEastAsia"/>
                <w:kern w:val="0"/>
                <w:sz w:val="20"/>
                <w:szCs w:val="20"/>
              </w:rPr>
            </w:pPr>
          </w:p>
        </w:tc>
        <w:tc>
          <w:tcPr>
            <w:tcW w:w="482" w:type="pct"/>
            <w:tcBorders>
              <w:top w:val="nil"/>
              <w:left w:val="nil"/>
              <w:bottom w:val="single" w:color="auto" w:sz="4" w:space="0"/>
              <w:right w:val="single" w:color="auto" w:sz="4" w:space="0"/>
            </w:tcBorders>
            <w:shd w:val="clear" w:color="auto" w:fill="auto"/>
            <w:noWrap/>
            <w:vAlign w:val="center"/>
          </w:tcPr>
          <w:p w14:paraId="7A3FDF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080" w:type="pct"/>
            <w:tcBorders>
              <w:top w:val="nil"/>
              <w:left w:val="nil"/>
              <w:bottom w:val="single" w:color="auto" w:sz="4" w:space="0"/>
              <w:right w:val="single" w:color="auto" w:sz="4" w:space="0"/>
            </w:tcBorders>
            <w:shd w:val="clear" w:color="auto" w:fill="auto"/>
            <w:vAlign w:val="center"/>
          </w:tcPr>
          <w:p w14:paraId="7F7771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4" w:type="pct"/>
            <w:tcBorders>
              <w:top w:val="nil"/>
              <w:left w:val="nil"/>
              <w:bottom w:val="single" w:color="auto" w:sz="4" w:space="0"/>
              <w:right w:val="single" w:color="auto" w:sz="4" w:space="0"/>
            </w:tcBorders>
            <w:shd w:val="clear" w:color="auto" w:fill="auto"/>
            <w:vAlign w:val="center"/>
          </w:tcPr>
          <w:p w14:paraId="245041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3" w:type="pct"/>
            <w:tcBorders>
              <w:top w:val="nil"/>
              <w:left w:val="nil"/>
              <w:bottom w:val="single" w:color="auto" w:sz="4" w:space="0"/>
              <w:right w:val="single" w:color="auto" w:sz="4" w:space="0"/>
            </w:tcBorders>
            <w:shd w:val="clear" w:color="auto" w:fill="auto"/>
            <w:vAlign w:val="center"/>
          </w:tcPr>
          <w:p w14:paraId="35DF55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17" w:type="pct"/>
            <w:tcBorders>
              <w:top w:val="nil"/>
              <w:left w:val="nil"/>
              <w:bottom w:val="single" w:color="auto" w:sz="4" w:space="0"/>
              <w:right w:val="single" w:color="auto" w:sz="4" w:space="0"/>
            </w:tcBorders>
            <w:shd w:val="clear" w:color="auto" w:fill="auto"/>
            <w:vAlign w:val="center"/>
          </w:tcPr>
          <w:p w14:paraId="53E57FC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vAlign w:val="center"/>
          </w:tcPr>
          <w:p w14:paraId="26647B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360" w:type="pct"/>
            <w:tcBorders>
              <w:top w:val="nil"/>
              <w:left w:val="nil"/>
              <w:bottom w:val="single" w:color="auto" w:sz="4" w:space="0"/>
              <w:right w:val="single" w:color="auto" w:sz="4" w:space="0"/>
            </w:tcBorders>
            <w:shd w:val="clear" w:color="auto" w:fill="auto"/>
            <w:vAlign w:val="center"/>
          </w:tcPr>
          <w:p w14:paraId="77DBB3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E3B64D8">
        <w:tblPrEx>
          <w:tblCellMar>
            <w:top w:w="0" w:type="dxa"/>
            <w:left w:w="108" w:type="dxa"/>
            <w:bottom w:w="0" w:type="dxa"/>
            <w:right w:w="108" w:type="dxa"/>
          </w:tblCellMar>
        </w:tblPrEx>
        <w:trPr>
          <w:trHeight w:val="41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7C00C94B">
            <w:pPr>
              <w:widowControl/>
              <w:jc w:val="left"/>
              <w:rPr>
                <w:rFonts w:hint="eastAsia" w:cs="宋体" w:asciiTheme="minorEastAsia" w:hAnsiTheme="minorEastAsia" w:eastAsiaTheme="minorEastAsia"/>
                <w:kern w:val="0"/>
                <w:sz w:val="20"/>
                <w:szCs w:val="20"/>
              </w:rPr>
            </w:pPr>
          </w:p>
        </w:tc>
        <w:tc>
          <w:tcPr>
            <w:tcW w:w="482" w:type="pct"/>
            <w:tcBorders>
              <w:top w:val="nil"/>
              <w:left w:val="nil"/>
              <w:bottom w:val="single" w:color="auto" w:sz="4" w:space="0"/>
              <w:right w:val="single" w:color="auto" w:sz="4" w:space="0"/>
            </w:tcBorders>
            <w:shd w:val="clear" w:color="auto" w:fill="auto"/>
            <w:vAlign w:val="center"/>
          </w:tcPr>
          <w:p w14:paraId="45373D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080" w:type="pct"/>
            <w:tcBorders>
              <w:top w:val="nil"/>
              <w:left w:val="nil"/>
              <w:bottom w:val="single" w:color="auto" w:sz="4" w:space="0"/>
              <w:right w:val="single" w:color="auto" w:sz="4" w:space="0"/>
            </w:tcBorders>
            <w:shd w:val="clear" w:color="auto" w:fill="auto"/>
            <w:vAlign w:val="center"/>
          </w:tcPr>
          <w:p w14:paraId="7336B0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4" w:type="pct"/>
            <w:tcBorders>
              <w:top w:val="nil"/>
              <w:left w:val="nil"/>
              <w:bottom w:val="single" w:color="auto" w:sz="4" w:space="0"/>
              <w:right w:val="single" w:color="auto" w:sz="4" w:space="0"/>
            </w:tcBorders>
            <w:shd w:val="clear" w:color="auto" w:fill="auto"/>
            <w:vAlign w:val="center"/>
          </w:tcPr>
          <w:p w14:paraId="141ED5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3" w:type="pct"/>
            <w:tcBorders>
              <w:top w:val="nil"/>
              <w:left w:val="nil"/>
              <w:bottom w:val="single" w:color="auto" w:sz="4" w:space="0"/>
              <w:right w:val="single" w:color="auto" w:sz="4" w:space="0"/>
            </w:tcBorders>
            <w:shd w:val="clear" w:color="auto" w:fill="auto"/>
            <w:vAlign w:val="center"/>
          </w:tcPr>
          <w:p w14:paraId="7DEF95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17" w:type="pct"/>
            <w:tcBorders>
              <w:top w:val="nil"/>
              <w:left w:val="nil"/>
              <w:bottom w:val="single" w:color="auto" w:sz="4" w:space="0"/>
              <w:right w:val="single" w:color="auto" w:sz="4" w:space="0"/>
            </w:tcBorders>
            <w:shd w:val="clear" w:color="auto" w:fill="auto"/>
            <w:vAlign w:val="center"/>
          </w:tcPr>
          <w:p w14:paraId="6B5227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49B967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0" w:type="pct"/>
            <w:tcBorders>
              <w:top w:val="nil"/>
              <w:left w:val="nil"/>
              <w:bottom w:val="single" w:color="auto" w:sz="4" w:space="0"/>
              <w:right w:val="single" w:color="auto" w:sz="4" w:space="0"/>
            </w:tcBorders>
            <w:shd w:val="clear" w:color="auto" w:fill="auto"/>
            <w:vAlign w:val="center"/>
          </w:tcPr>
          <w:p w14:paraId="68C810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8E0BA61">
        <w:tblPrEx>
          <w:tblCellMar>
            <w:top w:w="0" w:type="dxa"/>
            <w:left w:w="108" w:type="dxa"/>
            <w:bottom w:w="0" w:type="dxa"/>
            <w:right w:w="108" w:type="dxa"/>
          </w:tblCellMar>
        </w:tblPrEx>
        <w:trPr>
          <w:trHeight w:val="56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279890A8">
            <w:pPr>
              <w:widowControl/>
              <w:jc w:val="left"/>
              <w:rPr>
                <w:rFonts w:hint="eastAsia" w:cs="宋体" w:asciiTheme="minorEastAsia" w:hAnsiTheme="minorEastAsia" w:eastAsiaTheme="minorEastAsia"/>
                <w:kern w:val="0"/>
                <w:sz w:val="20"/>
                <w:szCs w:val="20"/>
              </w:rPr>
            </w:pPr>
          </w:p>
        </w:tc>
        <w:tc>
          <w:tcPr>
            <w:tcW w:w="482" w:type="pct"/>
            <w:tcBorders>
              <w:top w:val="nil"/>
              <w:left w:val="nil"/>
              <w:bottom w:val="single" w:color="auto" w:sz="4" w:space="0"/>
              <w:right w:val="single" w:color="auto" w:sz="4" w:space="0"/>
            </w:tcBorders>
            <w:shd w:val="clear" w:color="auto" w:fill="auto"/>
            <w:vAlign w:val="center"/>
          </w:tcPr>
          <w:p w14:paraId="22F23C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080" w:type="pct"/>
            <w:tcBorders>
              <w:top w:val="nil"/>
              <w:left w:val="nil"/>
              <w:bottom w:val="single" w:color="auto" w:sz="4" w:space="0"/>
              <w:right w:val="single" w:color="auto" w:sz="4" w:space="0"/>
            </w:tcBorders>
            <w:shd w:val="clear" w:color="auto" w:fill="auto"/>
            <w:vAlign w:val="center"/>
          </w:tcPr>
          <w:p w14:paraId="421607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4" w:type="pct"/>
            <w:tcBorders>
              <w:top w:val="nil"/>
              <w:left w:val="nil"/>
              <w:bottom w:val="single" w:color="auto" w:sz="4" w:space="0"/>
              <w:right w:val="single" w:color="auto" w:sz="4" w:space="0"/>
            </w:tcBorders>
            <w:shd w:val="clear" w:color="auto" w:fill="auto"/>
            <w:vAlign w:val="center"/>
          </w:tcPr>
          <w:p w14:paraId="622CDC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3" w:type="pct"/>
            <w:tcBorders>
              <w:top w:val="nil"/>
              <w:left w:val="nil"/>
              <w:bottom w:val="single" w:color="auto" w:sz="4" w:space="0"/>
              <w:right w:val="single" w:color="auto" w:sz="4" w:space="0"/>
            </w:tcBorders>
            <w:shd w:val="clear" w:color="auto" w:fill="auto"/>
            <w:vAlign w:val="center"/>
          </w:tcPr>
          <w:p w14:paraId="6E236F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17" w:type="pct"/>
            <w:tcBorders>
              <w:top w:val="nil"/>
              <w:left w:val="nil"/>
              <w:bottom w:val="single" w:color="auto" w:sz="4" w:space="0"/>
              <w:right w:val="single" w:color="auto" w:sz="4" w:space="0"/>
            </w:tcBorders>
            <w:shd w:val="clear" w:color="auto" w:fill="auto"/>
            <w:vAlign w:val="center"/>
          </w:tcPr>
          <w:p w14:paraId="607D06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377774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0" w:type="pct"/>
            <w:tcBorders>
              <w:top w:val="nil"/>
              <w:left w:val="nil"/>
              <w:bottom w:val="single" w:color="auto" w:sz="4" w:space="0"/>
              <w:right w:val="single" w:color="auto" w:sz="4" w:space="0"/>
            </w:tcBorders>
            <w:shd w:val="clear" w:color="auto" w:fill="auto"/>
            <w:vAlign w:val="center"/>
          </w:tcPr>
          <w:p w14:paraId="7CCD3E6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6690989">
        <w:tblPrEx>
          <w:tblCellMar>
            <w:top w:w="0" w:type="dxa"/>
            <w:left w:w="108" w:type="dxa"/>
            <w:bottom w:w="0" w:type="dxa"/>
            <w:right w:w="108" w:type="dxa"/>
          </w:tblCellMar>
        </w:tblPrEx>
        <w:trPr>
          <w:trHeight w:val="684"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105B12E7">
            <w:pPr>
              <w:widowControl/>
              <w:jc w:val="left"/>
              <w:rPr>
                <w:rFonts w:hint="eastAsia" w:cs="宋体" w:asciiTheme="minorEastAsia" w:hAnsiTheme="minorEastAsia" w:eastAsiaTheme="minorEastAsia"/>
                <w:kern w:val="0"/>
                <w:sz w:val="20"/>
                <w:szCs w:val="20"/>
              </w:rPr>
            </w:pPr>
          </w:p>
        </w:tc>
        <w:tc>
          <w:tcPr>
            <w:tcW w:w="482" w:type="pct"/>
            <w:tcBorders>
              <w:top w:val="nil"/>
              <w:left w:val="nil"/>
              <w:bottom w:val="single" w:color="auto" w:sz="4" w:space="0"/>
              <w:right w:val="single" w:color="auto" w:sz="4" w:space="0"/>
            </w:tcBorders>
            <w:shd w:val="clear" w:color="auto" w:fill="auto"/>
            <w:vAlign w:val="center"/>
          </w:tcPr>
          <w:p w14:paraId="10F0DE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080" w:type="pct"/>
            <w:tcBorders>
              <w:top w:val="nil"/>
              <w:left w:val="nil"/>
              <w:bottom w:val="single" w:color="auto" w:sz="4" w:space="0"/>
              <w:right w:val="single" w:color="auto" w:sz="4" w:space="0"/>
            </w:tcBorders>
            <w:shd w:val="clear" w:color="auto" w:fill="auto"/>
            <w:vAlign w:val="center"/>
          </w:tcPr>
          <w:p w14:paraId="03935E1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1,460.02</w:t>
            </w:r>
          </w:p>
        </w:tc>
        <w:tc>
          <w:tcPr>
            <w:tcW w:w="664" w:type="pct"/>
            <w:tcBorders>
              <w:top w:val="nil"/>
              <w:left w:val="nil"/>
              <w:bottom w:val="single" w:color="auto" w:sz="4" w:space="0"/>
              <w:right w:val="single" w:color="auto" w:sz="4" w:space="0"/>
            </w:tcBorders>
            <w:shd w:val="clear" w:color="auto" w:fill="auto"/>
            <w:vAlign w:val="center"/>
          </w:tcPr>
          <w:p w14:paraId="478C55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1,668.45</w:t>
            </w:r>
          </w:p>
        </w:tc>
        <w:tc>
          <w:tcPr>
            <w:tcW w:w="833" w:type="pct"/>
            <w:tcBorders>
              <w:top w:val="nil"/>
              <w:left w:val="nil"/>
              <w:bottom w:val="single" w:color="auto" w:sz="4" w:space="0"/>
              <w:right w:val="single" w:color="auto" w:sz="4" w:space="0"/>
            </w:tcBorders>
            <w:shd w:val="clear" w:color="auto" w:fill="auto"/>
            <w:vAlign w:val="center"/>
          </w:tcPr>
          <w:p w14:paraId="6DC044E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1,668.45</w:t>
            </w:r>
          </w:p>
        </w:tc>
        <w:tc>
          <w:tcPr>
            <w:tcW w:w="417" w:type="pct"/>
            <w:tcBorders>
              <w:top w:val="nil"/>
              <w:left w:val="nil"/>
              <w:bottom w:val="single" w:color="auto" w:sz="4" w:space="0"/>
              <w:right w:val="single" w:color="auto" w:sz="4" w:space="0"/>
            </w:tcBorders>
            <w:shd w:val="clear" w:color="auto" w:fill="auto"/>
            <w:vAlign w:val="center"/>
          </w:tcPr>
          <w:p w14:paraId="041F8D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497BF4A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0" w:type="pct"/>
            <w:tcBorders>
              <w:top w:val="nil"/>
              <w:left w:val="nil"/>
              <w:bottom w:val="single" w:color="auto" w:sz="4" w:space="0"/>
              <w:right w:val="single" w:color="auto" w:sz="4" w:space="0"/>
            </w:tcBorders>
            <w:shd w:val="clear" w:color="auto" w:fill="auto"/>
            <w:vAlign w:val="center"/>
          </w:tcPr>
          <w:p w14:paraId="33664B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6CBE134">
        <w:tblPrEx>
          <w:tblCellMar>
            <w:top w:w="0" w:type="dxa"/>
            <w:left w:w="108" w:type="dxa"/>
            <w:bottom w:w="0" w:type="dxa"/>
            <w:right w:w="108" w:type="dxa"/>
          </w:tblCellMar>
        </w:tblPrEx>
        <w:trPr>
          <w:trHeight w:val="424"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369FC4A8">
            <w:pPr>
              <w:widowControl/>
              <w:jc w:val="left"/>
              <w:rPr>
                <w:rFonts w:hint="eastAsia" w:cs="宋体" w:asciiTheme="minorEastAsia" w:hAnsiTheme="minorEastAsia" w:eastAsiaTheme="minorEastAsia"/>
                <w:kern w:val="0"/>
                <w:sz w:val="20"/>
                <w:szCs w:val="20"/>
              </w:rPr>
            </w:pPr>
          </w:p>
        </w:tc>
        <w:tc>
          <w:tcPr>
            <w:tcW w:w="482" w:type="pct"/>
            <w:tcBorders>
              <w:top w:val="nil"/>
              <w:left w:val="nil"/>
              <w:bottom w:val="single" w:color="auto" w:sz="4" w:space="0"/>
              <w:right w:val="single" w:color="auto" w:sz="4" w:space="0"/>
            </w:tcBorders>
            <w:shd w:val="clear" w:color="auto" w:fill="auto"/>
            <w:vAlign w:val="center"/>
          </w:tcPr>
          <w:p w14:paraId="2A482C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080" w:type="pct"/>
            <w:tcBorders>
              <w:top w:val="nil"/>
              <w:left w:val="nil"/>
              <w:bottom w:val="single" w:color="auto" w:sz="4" w:space="0"/>
              <w:right w:val="single" w:color="auto" w:sz="4" w:space="0"/>
            </w:tcBorders>
            <w:shd w:val="clear" w:color="auto" w:fill="auto"/>
            <w:vAlign w:val="center"/>
          </w:tcPr>
          <w:p w14:paraId="2DDF67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64" w:type="pct"/>
            <w:tcBorders>
              <w:top w:val="nil"/>
              <w:left w:val="nil"/>
              <w:bottom w:val="single" w:color="auto" w:sz="4" w:space="0"/>
              <w:right w:val="single" w:color="auto" w:sz="4" w:space="0"/>
            </w:tcBorders>
            <w:shd w:val="clear" w:color="auto" w:fill="auto"/>
            <w:vAlign w:val="center"/>
          </w:tcPr>
          <w:p w14:paraId="6E92FD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33" w:type="pct"/>
            <w:tcBorders>
              <w:top w:val="nil"/>
              <w:left w:val="nil"/>
              <w:bottom w:val="single" w:color="auto" w:sz="4" w:space="0"/>
              <w:right w:val="single" w:color="auto" w:sz="4" w:space="0"/>
            </w:tcBorders>
            <w:shd w:val="clear" w:color="auto" w:fill="auto"/>
            <w:vAlign w:val="center"/>
          </w:tcPr>
          <w:p w14:paraId="1825730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417" w:type="pct"/>
            <w:tcBorders>
              <w:top w:val="nil"/>
              <w:left w:val="nil"/>
              <w:bottom w:val="single" w:color="auto" w:sz="4" w:space="0"/>
              <w:right w:val="single" w:color="auto" w:sz="4" w:space="0"/>
            </w:tcBorders>
            <w:shd w:val="clear" w:color="auto" w:fill="auto"/>
            <w:vAlign w:val="center"/>
          </w:tcPr>
          <w:p w14:paraId="6FBA90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63560B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0" w:type="pct"/>
            <w:tcBorders>
              <w:top w:val="nil"/>
              <w:left w:val="nil"/>
              <w:bottom w:val="single" w:color="auto" w:sz="4" w:space="0"/>
              <w:right w:val="single" w:color="auto" w:sz="4" w:space="0"/>
            </w:tcBorders>
            <w:shd w:val="clear" w:color="auto" w:fill="auto"/>
            <w:vAlign w:val="center"/>
          </w:tcPr>
          <w:p w14:paraId="7700DA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8D7B869">
        <w:tblPrEx>
          <w:tblCellMar>
            <w:top w:w="0" w:type="dxa"/>
            <w:left w:w="108" w:type="dxa"/>
            <w:bottom w:w="0" w:type="dxa"/>
            <w:right w:w="108" w:type="dxa"/>
          </w:tblCellMar>
        </w:tblPrEx>
        <w:trPr>
          <w:trHeight w:val="416"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068B6D6C">
            <w:pPr>
              <w:widowControl/>
              <w:jc w:val="left"/>
              <w:rPr>
                <w:rFonts w:hint="eastAsia" w:cs="宋体" w:asciiTheme="minorEastAsia" w:hAnsiTheme="minorEastAsia" w:eastAsiaTheme="minorEastAsia"/>
                <w:kern w:val="0"/>
                <w:sz w:val="20"/>
                <w:szCs w:val="20"/>
              </w:rPr>
            </w:pPr>
          </w:p>
        </w:tc>
        <w:tc>
          <w:tcPr>
            <w:tcW w:w="482" w:type="pct"/>
            <w:tcBorders>
              <w:top w:val="nil"/>
              <w:left w:val="nil"/>
              <w:bottom w:val="single" w:color="auto" w:sz="4" w:space="0"/>
              <w:right w:val="single" w:color="auto" w:sz="4" w:space="0"/>
            </w:tcBorders>
            <w:shd w:val="clear" w:color="auto" w:fill="auto"/>
            <w:vAlign w:val="center"/>
          </w:tcPr>
          <w:p w14:paraId="2DF180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080" w:type="pct"/>
            <w:tcBorders>
              <w:top w:val="nil"/>
              <w:left w:val="nil"/>
              <w:bottom w:val="single" w:color="auto" w:sz="4" w:space="0"/>
              <w:right w:val="single" w:color="auto" w:sz="4" w:space="0"/>
            </w:tcBorders>
            <w:shd w:val="clear" w:color="auto" w:fill="auto"/>
            <w:vAlign w:val="center"/>
          </w:tcPr>
          <w:p w14:paraId="24DBBE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1,460.02</w:t>
            </w:r>
          </w:p>
        </w:tc>
        <w:tc>
          <w:tcPr>
            <w:tcW w:w="664" w:type="pct"/>
            <w:tcBorders>
              <w:top w:val="nil"/>
              <w:left w:val="nil"/>
              <w:bottom w:val="single" w:color="auto" w:sz="4" w:space="0"/>
              <w:right w:val="single" w:color="auto" w:sz="4" w:space="0"/>
            </w:tcBorders>
            <w:shd w:val="clear" w:color="auto" w:fill="auto"/>
            <w:vAlign w:val="center"/>
          </w:tcPr>
          <w:p w14:paraId="1D2885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1,668.45</w:t>
            </w:r>
          </w:p>
        </w:tc>
        <w:tc>
          <w:tcPr>
            <w:tcW w:w="833" w:type="pct"/>
            <w:tcBorders>
              <w:top w:val="nil"/>
              <w:left w:val="nil"/>
              <w:bottom w:val="single" w:color="auto" w:sz="4" w:space="0"/>
              <w:right w:val="single" w:color="auto" w:sz="4" w:space="0"/>
            </w:tcBorders>
            <w:shd w:val="clear" w:color="auto" w:fill="auto"/>
            <w:vAlign w:val="center"/>
          </w:tcPr>
          <w:p w14:paraId="36A0E3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1,668.45</w:t>
            </w:r>
          </w:p>
        </w:tc>
        <w:tc>
          <w:tcPr>
            <w:tcW w:w="417" w:type="pct"/>
            <w:tcBorders>
              <w:top w:val="nil"/>
              <w:left w:val="nil"/>
              <w:bottom w:val="single" w:color="auto" w:sz="4" w:space="0"/>
              <w:right w:val="single" w:color="auto" w:sz="4" w:space="0"/>
            </w:tcBorders>
            <w:shd w:val="clear" w:color="auto" w:fill="auto"/>
            <w:vAlign w:val="center"/>
          </w:tcPr>
          <w:p w14:paraId="55365F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498" w:type="pct"/>
            <w:tcBorders>
              <w:top w:val="nil"/>
              <w:left w:val="nil"/>
              <w:bottom w:val="single" w:color="auto" w:sz="4" w:space="0"/>
              <w:right w:val="single" w:color="auto" w:sz="4" w:space="0"/>
            </w:tcBorders>
            <w:shd w:val="clear" w:color="auto" w:fill="auto"/>
            <w:vAlign w:val="center"/>
          </w:tcPr>
          <w:p w14:paraId="2209DE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360" w:type="pct"/>
            <w:tcBorders>
              <w:top w:val="nil"/>
              <w:left w:val="nil"/>
              <w:bottom w:val="single" w:color="auto" w:sz="4" w:space="0"/>
              <w:right w:val="single" w:color="auto" w:sz="4" w:space="0"/>
            </w:tcBorders>
            <w:shd w:val="clear" w:color="auto" w:fill="auto"/>
            <w:vAlign w:val="center"/>
          </w:tcPr>
          <w:p w14:paraId="6FAA06E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37C52AF6">
        <w:tblPrEx>
          <w:tblCellMar>
            <w:top w:w="0" w:type="dxa"/>
            <w:left w:w="108" w:type="dxa"/>
            <w:bottom w:w="0" w:type="dxa"/>
            <w:right w:w="108" w:type="dxa"/>
          </w:tblCellMar>
        </w:tblPrEx>
        <w:trPr>
          <w:trHeight w:val="565" w:hRule="atLeast"/>
        </w:trPr>
        <w:tc>
          <w:tcPr>
            <w:tcW w:w="6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CA94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2227" w:type="pct"/>
            <w:gridSpan w:val="3"/>
            <w:tcBorders>
              <w:top w:val="single" w:color="auto" w:sz="4" w:space="0"/>
              <w:left w:val="nil"/>
              <w:bottom w:val="single" w:color="auto" w:sz="4" w:space="0"/>
              <w:right w:val="single" w:color="auto" w:sz="4" w:space="0"/>
            </w:tcBorders>
            <w:shd w:val="clear" w:color="auto" w:fill="auto"/>
            <w:noWrap/>
            <w:vAlign w:val="center"/>
          </w:tcPr>
          <w:p w14:paraId="14C0EA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2109" w:type="pct"/>
            <w:gridSpan w:val="4"/>
            <w:tcBorders>
              <w:top w:val="single" w:color="auto" w:sz="4" w:space="0"/>
              <w:left w:val="nil"/>
              <w:bottom w:val="single" w:color="auto" w:sz="4" w:space="0"/>
              <w:right w:val="single" w:color="auto" w:sz="4" w:space="0"/>
            </w:tcBorders>
            <w:shd w:val="clear" w:color="auto" w:fill="auto"/>
            <w:noWrap/>
            <w:vAlign w:val="center"/>
          </w:tcPr>
          <w:p w14:paraId="48030AE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22533718">
        <w:tblPrEx>
          <w:tblCellMar>
            <w:top w:w="0" w:type="dxa"/>
            <w:left w:w="108" w:type="dxa"/>
            <w:bottom w:w="0" w:type="dxa"/>
            <w:right w:w="108" w:type="dxa"/>
          </w:tblCellMar>
        </w:tblPrEx>
        <w:trPr>
          <w:trHeight w:val="200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220DF550">
            <w:pPr>
              <w:widowControl/>
              <w:jc w:val="left"/>
              <w:rPr>
                <w:rFonts w:hint="eastAsia" w:cs="宋体" w:asciiTheme="minorEastAsia" w:hAnsiTheme="minorEastAsia" w:eastAsiaTheme="minorEastAsia"/>
                <w:kern w:val="0"/>
                <w:sz w:val="20"/>
                <w:szCs w:val="20"/>
              </w:rPr>
            </w:pPr>
          </w:p>
        </w:tc>
        <w:tc>
          <w:tcPr>
            <w:tcW w:w="2227" w:type="pct"/>
            <w:gridSpan w:val="3"/>
            <w:tcBorders>
              <w:top w:val="single" w:color="auto" w:sz="4" w:space="0"/>
              <w:left w:val="nil"/>
              <w:bottom w:val="single" w:color="auto" w:sz="4" w:space="0"/>
              <w:right w:val="single" w:color="auto" w:sz="4" w:space="0"/>
            </w:tcBorders>
            <w:shd w:val="clear" w:color="auto" w:fill="auto"/>
            <w:vAlign w:val="center"/>
          </w:tcPr>
          <w:p w14:paraId="0C88BE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目标1：保障政府办公室、统计局、红十字会、编委办公室、信访局各项工作圆满完成。</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目标2：保障县领导工作正常有序开展。</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目标3：按照县委、县人民政府相应的会议部署要求，认真负责</w:t>
            </w:r>
            <w:r>
              <w:rPr>
                <w:rFonts w:hint="eastAsia" w:cs="宋体" w:asciiTheme="minorEastAsia" w:hAnsiTheme="minorEastAsia" w:eastAsiaTheme="minorEastAsia"/>
                <w:kern w:val="0"/>
                <w:sz w:val="20"/>
                <w:szCs w:val="20"/>
                <w:lang w:eastAsia="zh-CN"/>
              </w:rPr>
              <w:t>地</w:t>
            </w:r>
            <w:r>
              <w:rPr>
                <w:rFonts w:hint="eastAsia" w:cs="宋体" w:asciiTheme="minorEastAsia" w:hAnsiTheme="minorEastAsia" w:eastAsiaTheme="minorEastAsia"/>
                <w:kern w:val="0"/>
                <w:sz w:val="20"/>
                <w:szCs w:val="20"/>
              </w:rPr>
              <w:t>做好政府系统会议保障工作，建立全面的常态化办会制度。承办各类电视电话会议10次以上，承办自治区、自治州、自治县县级会议20次以上。</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目标4：组织各类</w:t>
            </w:r>
            <w:r>
              <w:rPr>
                <w:rFonts w:hint="eastAsia" w:cs="宋体" w:asciiTheme="minorEastAsia" w:hAnsiTheme="minorEastAsia" w:eastAsiaTheme="minorEastAsia"/>
                <w:kern w:val="0"/>
                <w:sz w:val="20"/>
                <w:szCs w:val="20"/>
                <w:lang w:eastAsia="zh-CN"/>
              </w:rPr>
              <w:t>培训</w:t>
            </w:r>
            <w:r>
              <w:rPr>
                <w:rFonts w:hint="eastAsia" w:cs="宋体" w:asciiTheme="minorEastAsia" w:hAnsiTheme="minorEastAsia" w:eastAsiaTheme="minorEastAsia"/>
                <w:kern w:val="0"/>
                <w:sz w:val="20"/>
                <w:szCs w:val="20"/>
              </w:rPr>
              <w:t>学习次数10次以上。</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目标5：解决长期积累、久拖未决、难以划分责任主体的特殊疑难信访事件5件以上，及时处理群众来信来访。</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目标6：及时处理各类重要文件，并保证文件无错误率。</w:t>
            </w:r>
          </w:p>
        </w:tc>
        <w:tc>
          <w:tcPr>
            <w:tcW w:w="2109" w:type="pct"/>
            <w:gridSpan w:val="4"/>
            <w:tcBorders>
              <w:top w:val="single" w:color="auto" w:sz="4" w:space="0"/>
              <w:left w:val="nil"/>
              <w:bottom w:val="single" w:color="auto" w:sz="4" w:space="0"/>
              <w:right w:val="single" w:color="auto" w:sz="4" w:space="0"/>
            </w:tcBorders>
            <w:shd w:val="clear" w:color="auto" w:fill="auto"/>
            <w:vAlign w:val="center"/>
          </w:tcPr>
          <w:p w14:paraId="7506D62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w:t>
            </w:r>
            <w:r>
              <w:rPr>
                <w:rFonts w:hint="eastAsia" w:cs="宋体" w:asciiTheme="minorEastAsia" w:hAnsiTheme="minorEastAsia" w:eastAsiaTheme="minorEastAsia"/>
                <w:kern w:val="0"/>
                <w:sz w:val="20"/>
                <w:szCs w:val="20"/>
              </w:rPr>
              <w:t>自评之日，政府办公室、统计局、红十字会、编委办公室、信访局各项工作圆满完成，县领导工作正常有序开展。按照县委、县人民政府相应的会议部署要求，认真负责</w:t>
            </w:r>
            <w:r>
              <w:rPr>
                <w:rFonts w:hint="eastAsia" w:cs="宋体" w:asciiTheme="minorEastAsia" w:hAnsiTheme="minorEastAsia" w:eastAsiaTheme="minorEastAsia"/>
                <w:kern w:val="0"/>
                <w:sz w:val="20"/>
                <w:szCs w:val="20"/>
                <w:lang w:eastAsia="zh-CN"/>
              </w:rPr>
              <w:t>地</w:t>
            </w:r>
            <w:r>
              <w:rPr>
                <w:rFonts w:hint="eastAsia" w:cs="宋体" w:asciiTheme="minorEastAsia" w:hAnsiTheme="minorEastAsia" w:eastAsiaTheme="minorEastAsia"/>
                <w:kern w:val="0"/>
                <w:sz w:val="20"/>
                <w:szCs w:val="20"/>
              </w:rPr>
              <w:t>做好政府系统会议保障工作，建立全面的常态化办会制度。承办各类电视电话会议10次以上，承办自治区、自治州、自治县县级会议20次以上。组织各类培训</w:t>
            </w:r>
            <w:r>
              <w:rPr>
                <w:rFonts w:hint="eastAsia" w:cs="宋体" w:asciiTheme="minorEastAsia" w:hAnsiTheme="minorEastAsia" w:eastAsiaTheme="minorEastAsia"/>
                <w:kern w:val="0"/>
                <w:sz w:val="20"/>
                <w:szCs w:val="20"/>
                <w:lang w:eastAsia="zh-CN"/>
              </w:rPr>
              <w:t>及</w:t>
            </w:r>
            <w:r>
              <w:rPr>
                <w:rFonts w:hint="eastAsia" w:cs="宋体" w:asciiTheme="minorEastAsia" w:hAnsiTheme="minorEastAsia" w:eastAsiaTheme="minorEastAsia"/>
                <w:kern w:val="0"/>
                <w:sz w:val="20"/>
                <w:szCs w:val="20"/>
              </w:rPr>
              <w:t>学习次数15次。解决了长期积累、久拖未决、难以划分责任主体的特殊疑难信访事件5件，及时处理群众来信来访。及时处理了各类重要文件，并保证文件无错误率。</w:t>
            </w:r>
          </w:p>
        </w:tc>
      </w:tr>
      <w:tr w14:paraId="48E4F120">
        <w:tblPrEx>
          <w:tblCellMar>
            <w:top w:w="0" w:type="dxa"/>
            <w:left w:w="108" w:type="dxa"/>
            <w:bottom w:w="0" w:type="dxa"/>
            <w:right w:w="108" w:type="dxa"/>
          </w:tblCellMar>
        </w:tblPrEx>
        <w:trPr>
          <w:trHeight w:val="579" w:hRule="atLeast"/>
        </w:trPr>
        <w:tc>
          <w:tcPr>
            <w:tcW w:w="662" w:type="pct"/>
            <w:tcBorders>
              <w:top w:val="single" w:color="auto" w:sz="4" w:space="0"/>
              <w:left w:val="single" w:color="auto" w:sz="4" w:space="0"/>
              <w:bottom w:val="single" w:color="auto" w:sz="4" w:space="0"/>
              <w:right w:val="single" w:color="auto" w:sz="4" w:space="0"/>
            </w:tcBorders>
            <w:shd w:val="clear" w:color="auto" w:fill="auto"/>
            <w:vAlign w:val="center"/>
          </w:tcPr>
          <w:p w14:paraId="6D7556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482" w:type="pct"/>
            <w:tcBorders>
              <w:top w:val="nil"/>
              <w:left w:val="nil"/>
              <w:bottom w:val="single" w:color="auto" w:sz="4" w:space="0"/>
              <w:right w:val="single" w:color="auto" w:sz="4" w:space="0"/>
            </w:tcBorders>
            <w:shd w:val="clear" w:color="auto" w:fill="auto"/>
            <w:vAlign w:val="center"/>
          </w:tcPr>
          <w:p w14:paraId="498EFF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080" w:type="pct"/>
            <w:tcBorders>
              <w:top w:val="nil"/>
              <w:left w:val="nil"/>
              <w:bottom w:val="single" w:color="auto" w:sz="4" w:space="0"/>
              <w:right w:val="single" w:color="auto" w:sz="4" w:space="0"/>
            </w:tcBorders>
            <w:shd w:val="clear" w:color="auto" w:fill="auto"/>
            <w:vAlign w:val="center"/>
          </w:tcPr>
          <w:p w14:paraId="0DFD66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664" w:type="pct"/>
            <w:tcBorders>
              <w:top w:val="nil"/>
              <w:left w:val="nil"/>
              <w:bottom w:val="single" w:color="auto" w:sz="4" w:space="0"/>
              <w:right w:val="single" w:color="auto" w:sz="4" w:space="0"/>
            </w:tcBorders>
            <w:shd w:val="clear" w:color="auto" w:fill="auto"/>
            <w:vAlign w:val="center"/>
          </w:tcPr>
          <w:p w14:paraId="4D53997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833" w:type="pct"/>
            <w:tcBorders>
              <w:top w:val="nil"/>
              <w:left w:val="nil"/>
              <w:bottom w:val="single" w:color="auto" w:sz="4" w:space="0"/>
              <w:right w:val="single" w:color="auto" w:sz="4" w:space="0"/>
            </w:tcBorders>
            <w:shd w:val="clear" w:color="auto" w:fill="auto"/>
            <w:vAlign w:val="center"/>
          </w:tcPr>
          <w:p w14:paraId="1B345D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417" w:type="pct"/>
            <w:tcBorders>
              <w:top w:val="nil"/>
              <w:left w:val="nil"/>
              <w:bottom w:val="single" w:color="auto" w:sz="4" w:space="0"/>
              <w:right w:val="single" w:color="auto" w:sz="4" w:space="0"/>
            </w:tcBorders>
            <w:shd w:val="clear" w:color="auto" w:fill="auto"/>
            <w:vAlign w:val="center"/>
          </w:tcPr>
          <w:p w14:paraId="42E293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498" w:type="pct"/>
            <w:tcBorders>
              <w:top w:val="nil"/>
              <w:left w:val="nil"/>
              <w:bottom w:val="single" w:color="auto" w:sz="4" w:space="0"/>
              <w:right w:val="single" w:color="auto" w:sz="4" w:space="0"/>
            </w:tcBorders>
            <w:shd w:val="clear" w:color="auto" w:fill="auto"/>
            <w:vAlign w:val="center"/>
          </w:tcPr>
          <w:p w14:paraId="09376A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360" w:type="pct"/>
            <w:tcBorders>
              <w:top w:val="nil"/>
              <w:left w:val="nil"/>
              <w:bottom w:val="single" w:color="auto" w:sz="4" w:space="0"/>
              <w:right w:val="single" w:color="auto" w:sz="4" w:space="0"/>
            </w:tcBorders>
            <w:shd w:val="clear" w:color="auto" w:fill="auto"/>
            <w:vAlign w:val="center"/>
          </w:tcPr>
          <w:p w14:paraId="2E10785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9E8D5BC">
        <w:tblPrEx>
          <w:tblCellMar>
            <w:top w:w="0" w:type="dxa"/>
            <w:left w:w="108" w:type="dxa"/>
            <w:bottom w:w="0" w:type="dxa"/>
            <w:right w:w="108" w:type="dxa"/>
          </w:tblCellMar>
        </w:tblPrEx>
        <w:trPr>
          <w:trHeight w:val="741" w:hRule="atLeast"/>
        </w:trPr>
        <w:tc>
          <w:tcPr>
            <w:tcW w:w="6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0344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482" w:type="pct"/>
            <w:vMerge w:val="restart"/>
            <w:tcBorders>
              <w:top w:val="nil"/>
              <w:left w:val="single" w:color="auto" w:sz="4" w:space="0"/>
              <w:bottom w:val="single" w:color="auto" w:sz="4" w:space="0"/>
              <w:right w:val="single" w:color="auto" w:sz="4" w:space="0"/>
            </w:tcBorders>
            <w:shd w:val="clear" w:color="auto" w:fill="auto"/>
            <w:vAlign w:val="center"/>
          </w:tcPr>
          <w:p w14:paraId="227411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080" w:type="pct"/>
            <w:tcBorders>
              <w:top w:val="nil"/>
              <w:left w:val="nil"/>
              <w:bottom w:val="single" w:color="auto" w:sz="4" w:space="0"/>
              <w:right w:val="single" w:color="auto" w:sz="4" w:space="0"/>
            </w:tcBorders>
            <w:shd w:val="clear" w:color="auto" w:fill="auto"/>
            <w:vAlign w:val="center"/>
          </w:tcPr>
          <w:p w14:paraId="59C55E8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664" w:type="pct"/>
            <w:tcBorders>
              <w:top w:val="nil"/>
              <w:left w:val="nil"/>
              <w:bottom w:val="single" w:color="auto" w:sz="4" w:space="0"/>
              <w:right w:val="single" w:color="auto" w:sz="4" w:space="0"/>
            </w:tcBorders>
            <w:shd w:val="clear" w:color="auto" w:fill="auto"/>
            <w:vAlign w:val="center"/>
          </w:tcPr>
          <w:p w14:paraId="03C7F19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&gt;=55人</w:t>
            </w:r>
          </w:p>
        </w:tc>
        <w:tc>
          <w:tcPr>
            <w:tcW w:w="833" w:type="pct"/>
            <w:tcBorders>
              <w:top w:val="nil"/>
              <w:left w:val="nil"/>
              <w:bottom w:val="single" w:color="auto" w:sz="4" w:space="0"/>
              <w:right w:val="single" w:color="auto" w:sz="4" w:space="0"/>
            </w:tcBorders>
            <w:shd w:val="clear" w:color="auto" w:fill="auto"/>
            <w:vAlign w:val="center"/>
          </w:tcPr>
          <w:p w14:paraId="288C804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公室机构改革方案</w:t>
            </w:r>
          </w:p>
        </w:tc>
        <w:tc>
          <w:tcPr>
            <w:tcW w:w="417" w:type="pct"/>
            <w:tcBorders>
              <w:top w:val="nil"/>
              <w:left w:val="nil"/>
              <w:bottom w:val="single" w:color="auto" w:sz="4" w:space="0"/>
              <w:right w:val="single" w:color="auto" w:sz="4" w:space="0"/>
            </w:tcBorders>
            <w:shd w:val="clear" w:color="auto" w:fill="auto"/>
            <w:vAlign w:val="center"/>
          </w:tcPr>
          <w:p w14:paraId="3121194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vAlign w:val="center"/>
          </w:tcPr>
          <w:p w14:paraId="5DD28BB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57人</w:t>
            </w:r>
          </w:p>
        </w:tc>
        <w:tc>
          <w:tcPr>
            <w:tcW w:w="360" w:type="pct"/>
            <w:tcBorders>
              <w:top w:val="nil"/>
              <w:left w:val="nil"/>
              <w:bottom w:val="single" w:color="auto" w:sz="4" w:space="0"/>
              <w:right w:val="single" w:color="auto" w:sz="4" w:space="0"/>
            </w:tcBorders>
            <w:shd w:val="clear" w:color="auto" w:fill="auto"/>
            <w:vAlign w:val="center"/>
          </w:tcPr>
          <w:p w14:paraId="7146885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4AE5CC0">
        <w:tblPrEx>
          <w:tblCellMar>
            <w:top w:w="0" w:type="dxa"/>
            <w:left w:w="108" w:type="dxa"/>
            <w:bottom w:w="0" w:type="dxa"/>
            <w:right w:w="108" w:type="dxa"/>
          </w:tblCellMar>
        </w:tblPrEx>
        <w:trPr>
          <w:trHeight w:val="74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345C5142">
            <w:pPr>
              <w:widowControl/>
              <w:jc w:val="left"/>
              <w:rPr>
                <w:rFonts w:hint="eastAsia" w:cs="宋体" w:asciiTheme="minorEastAsia" w:hAnsiTheme="minorEastAsia" w:eastAsiaTheme="minorEastAsia"/>
                <w:kern w:val="0"/>
                <w:sz w:val="20"/>
                <w:szCs w:val="20"/>
              </w:rPr>
            </w:pPr>
          </w:p>
        </w:tc>
        <w:tc>
          <w:tcPr>
            <w:tcW w:w="482" w:type="pct"/>
            <w:vMerge w:val="continue"/>
            <w:tcBorders>
              <w:top w:val="nil"/>
              <w:left w:val="single" w:color="auto" w:sz="4" w:space="0"/>
              <w:bottom w:val="single" w:color="auto" w:sz="4" w:space="0"/>
              <w:right w:val="single" w:color="auto" w:sz="4" w:space="0"/>
            </w:tcBorders>
            <w:vAlign w:val="center"/>
          </w:tcPr>
          <w:p w14:paraId="54A62126">
            <w:pPr>
              <w:widowControl/>
              <w:jc w:val="left"/>
              <w:rPr>
                <w:rFonts w:hint="eastAsia" w:cs="宋体" w:asciiTheme="minorEastAsia" w:hAnsiTheme="minorEastAsia" w:eastAsiaTheme="minorEastAsia"/>
                <w:kern w:val="0"/>
                <w:sz w:val="20"/>
                <w:szCs w:val="20"/>
              </w:rPr>
            </w:pPr>
          </w:p>
        </w:tc>
        <w:tc>
          <w:tcPr>
            <w:tcW w:w="1080" w:type="pct"/>
            <w:tcBorders>
              <w:top w:val="nil"/>
              <w:left w:val="nil"/>
              <w:bottom w:val="single" w:color="auto" w:sz="4" w:space="0"/>
              <w:right w:val="single" w:color="auto" w:sz="4" w:space="0"/>
            </w:tcBorders>
            <w:shd w:val="clear" w:color="auto" w:fill="auto"/>
            <w:vAlign w:val="center"/>
          </w:tcPr>
          <w:p w14:paraId="0452964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保障建筑物供暖面积</w:t>
            </w:r>
          </w:p>
        </w:tc>
        <w:tc>
          <w:tcPr>
            <w:tcW w:w="664" w:type="pct"/>
            <w:tcBorders>
              <w:top w:val="nil"/>
              <w:left w:val="nil"/>
              <w:bottom w:val="single" w:color="auto" w:sz="4" w:space="0"/>
              <w:right w:val="single" w:color="auto" w:sz="4" w:space="0"/>
            </w:tcBorders>
            <w:shd w:val="clear" w:color="auto" w:fill="auto"/>
            <w:vAlign w:val="center"/>
          </w:tcPr>
          <w:p w14:paraId="6F5C1C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&gt;=150平方米</w:t>
            </w:r>
          </w:p>
        </w:tc>
        <w:tc>
          <w:tcPr>
            <w:tcW w:w="833" w:type="pct"/>
            <w:tcBorders>
              <w:top w:val="nil"/>
              <w:left w:val="nil"/>
              <w:bottom w:val="single" w:color="auto" w:sz="4" w:space="0"/>
              <w:right w:val="single" w:color="auto" w:sz="4" w:space="0"/>
            </w:tcBorders>
            <w:shd w:val="clear" w:color="auto" w:fill="auto"/>
            <w:vAlign w:val="center"/>
          </w:tcPr>
          <w:p w14:paraId="3BADEF8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公室机构改革方案</w:t>
            </w:r>
          </w:p>
        </w:tc>
        <w:tc>
          <w:tcPr>
            <w:tcW w:w="417" w:type="pct"/>
            <w:tcBorders>
              <w:top w:val="nil"/>
              <w:left w:val="nil"/>
              <w:bottom w:val="single" w:color="auto" w:sz="4" w:space="0"/>
              <w:right w:val="single" w:color="auto" w:sz="4" w:space="0"/>
            </w:tcBorders>
            <w:shd w:val="clear" w:color="auto" w:fill="auto"/>
            <w:vAlign w:val="center"/>
          </w:tcPr>
          <w:p w14:paraId="1ACAD3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vAlign w:val="center"/>
          </w:tcPr>
          <w:p w14:paraId="722C3D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150平方米</w:t>
            </w:r>
          </w:p>
        </w:tc>
        <w:tc>
          <w:tcPr>
            <w:tcW w:w="360" w:type="pct"/>
            <w:tcBorders>
              <w:top w:val="nil"/>
              <w:left w:val="nil"/>
              <w:bottom w:val="single" w:color="auto" w:sz="4" w:space="0"/>
              <w:right w:val="single" w:color="auto" w:sz="4" w:space="0"/>
            </w:tcBorders>
            <w:shd w:val="clear" w:color="auto" w:fill="auto"/>
            <w:vAlign w:val="center"/>
          </w:tcPr>
          <w:p w14:paraId="263D9C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5A110EA">
        <w:tblPrEx>
          <w:tblCellMar>
            <w:top w:w="0" w:type="dxa"/>
            <w:left w:w="108" w:type="dxa"/>
            <w:bottom w:w="0" w:type="dxa"/>
            <w:right w:w="108" w:type="dxa"/>
          </w:tblCellMar>
        </w:tblPrEx>
        <w:trPr>
          <w:trHeight w:val="74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5028F52F">
            <w:pPr>
              <w:widowControl/>
              <w:jc w:val="left"/>
              <w:rPr>
                <w:rFonts w:hint="eastAsia" w:cs="宋体" w:asciiTheme="minorEastAsia" w:hAnsiTheme="minorEastAsia" w:eastAsiaTheme="minorEastAsia"/>
                <w:kern w:val="0"/>
                <w:sz w:val="20"/>
                <w:szCs w:val="20"/>
              </w:rPr>
            </w:pPr>
          </w:p>
        </w:tc>
        <w:tc>
          <w:tcPr>
            <w:tcW w:w="482" w:type="pct"/>
            <w:vMerge w:val="continue"/>
            <w:tcBorders>
              <w:top w:val="nil"/>
              <w:left w:val="single" w:color="auto" w:sz="4" w:space="0"/>
              <w:bottom w:val="single" w:color="auto" w:sz="4" w:space="0"/>
              <w:right w:val="single" w:color="auto" w:sz="4" w:space="0"/>
            </w:tcBorders>
            <w:vAlign w:val="center"/>
          </w:tcPr>
          <w:p w14:paraId="4E52F832">
            <w:pPr>
              <w:widowControl/>
              <w:jc w:val="left"/>
              <w:rPr>
                <w:rFonts w:hint="eastAsia" w:cs="宋体" w:asciiTheme="minorEastAsia" w:hAnsiTheme="minorEastAsia" w:eastAsiaTheme="minorEastAsia"/>
                <w:kern w:val="0"/>
                <w:sz w:val="20"/>
                <w:szCs w:val="20"/>
              </w:rPr>
            </w:pPr>
          </w:p>
        </w:tc>
        <w:tc>
          <w:tcPr>
            <w:tcW w:w="1080" w:type="pct"/>
            <w:tcBorders>
              <w:top w:val="nil"/>
              <w:left w:val="nil"/>
              <w:bottom w:val="single" w:color="auto" w:sz="4" w:space="0"/>
              <w:right w:val="single" w:color="auto" w:sz="4" w:space="0"/>
            </w:tcBorders>
            <w:shd w:val="clear" w:color="auto" w:fill="auto"/>
            <w:vAlign w:val="center"/>
          </w:tcPr>
          <w:p w14:paraId="600874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公务用车保障数量</w:t>
            </w:r>
          </w:p>
        </w:tc>
        <w:tc>
          <w:tcPr>
            <w:tcW w:w="664" w:type="pct"/>
            <w:tcBorders>
              <w:top w:val="nil"/>
              <w:left w:val="nil"/>
              <w:bottom w:val="single" w:color="auto" w:sz="4" w:space="0"/>
              <w:right w:val="single" w:color="auto" w:sz="4" w:space="0"/>
            </w:tcBorders>
            <w:shd w:val="clear" w:color="auto" w:fill="auto"/>
            <w:vAlign w:val="center"/>
          </w:tcPr>
          <w:p w14:paraId="3F5BC0E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&gt;=6辆</w:t>
            </w:r>
          </w:p>
        </w:tc>
        <w:tc>
          <w:tcPr>
            <w:tcW w:w="833" w:type="pct"/>
            <w:tcBorders>
              <w:top w:val="nil"/>
              <w:left w:val="nil"/>
              <w:bottom w:val="single" w:color="auto" w:sz="4" w:space="0"/>
              <w:right w:val="single" w:color="auto" w:sz="4" w:space="0"/>
            </w:tcBorders>
            <w:shd w:val="clear" w:color="auto" w:fill="auto"/>
            <w:vAlign w:val="center"/>
          </w:tcPr>
          <w:p w14:paraId="3E04FAA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公室机构改革方案</w:t>
            </w:r>
          </w:p>
        </w:tc>
        <w:tc>
          <w:tcPr>
            <w:tcW w:w="417" w:type="pct"/>
            <w:tcBorders>
              <w:top w:val="nil"/>
              <w:left w:val="nil"/>
              <w:bottom w:val="single" w:color="auto" w:sz="4" w:space="0"/>
              <w:right w:val="single" w:color="auto" w:sz="4" w:space="0"/>
            </w:tcBorders>
            <w:shd w:val="clear" w:color="auto" w:fill="auto"/>
            <w:vAlign w:val="center"/>
          </w:tcPr>
          <w:p w14:paraId="60106E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vAlign w:val="center"/>
          </w:tcPr>
          <w:p w14:paraId="71766B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11辆</w:t>
            </w:r>
          </w:p>
        </w:tc>
        <w:tc>
          <w:tcPr>
            <w:tcW w:w="360" w:type="pct"/>
            <w:tcBorders>
              <w:top w:val="nil"/>
              <w:left w:val="nil"/>
              <w:bottom w:val="single" w:color="auto" w:sz="4" w:space="0"/>
              <w:right w:val="single" w:color="auto" w:sz="4" w:space="0"/>
            </w:tcBorders>
            <w:shd w:val="clear" w:color="auto" w:fill="auto"/>
            <w:vAlign w:val="center"/>
          </w:tcPr>
          <w:p w14:paraId="6712C1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3D0539D">
        <w:tblPrEx>
          <w:tblCellMar>
            <w:top w:w="0" w:type="dxa"/>
            <w:left w:w="108" w:type="dxa"/>
            <w:bottom w:w="0" w:type="dxa"/>
            <w:right w:w="108" w:type="dxa"/>
          </w:tblCellMar>
        </w:tblPrEx>
        <w:trPr>
          <w:trHeight w:val="741" w:hRule="atLeast"/>
        </w:trPr>
        <w:tc>
          <w:tcPr>
            <w:tcW w:w="662" w:type="pct"/>
            <w:tcBorders>
              <w:top w:val="single" w:color="auto" w:sz="4" w:space="0"/>
              <w:left w:val="single" w:color="auto" w:sz="4" w:space="0"/>
              <w:bottom w:val="single" w:color="auto" w:sz="4" w:space="0"/>
              <w:right w:val="single" w:color="auto" w:sz="4" w:space="0"/>
            </w:tcBorders>
            <w:shd w:val="clear" w:color="auto" w:fill="auto"/>
            <w:vAlign w:val="center"/>
          </w:tcPr>
          <w:p w14:paraId="1F12B3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482" w:type="pct"/>
            <w:vMerge w:val="continue"/>
            <w:tcBorders>
              <w:top w:val="nil"/>
              <w:left w:val="single" w:color="auto" w:sz="4" w:space="0"/>
              <w:bottom w:val="single" w:color="auto" w:sz="4" w:space="0"/>
              <w:right w:val="single" w:color="auto" w:sz="4" w:space="0"/>
            </w:tcBorders>
            <w:vAlign w:val="center"/>
          </w:tcPr>
          <w:p w14:paraId="2B6ED5D3">
            <w:pPr>
              <w:widowControl/>
              <w:jc w:val="left"/>
              <w:rPr>
                <w:rFonts w:hint="eastAsia" w:cs="宋体" w:asciiTheme="minorEastAsia" w:hAnsiTheme="minorEastAsia" w:eastAsiaTheme="minorEastAsia"/>
                <w:kern w:val="0"/>
                <w:sz w:val="20"/>
                <w:szCs w:val="20"/>
              </w:rPr>
            </w:pPr>
          </w:p>
        </w:tc>
        <w:tc>
          <w:tcPr>
            <w:tcW w:w="1080" w:type="pct"/>
            <w:tcBorders>
              <w:top w:val="nil"/>
              <w:left w:val="nil"/>
              <w:bottom w:val="single" w:color="auto" w:sz="4" w:space="0"/>
              <w:right w:val="single" w:color="auto" w:sz="4" w:space="0"/>
            </w:tcBorders>
            <w:shd w:val="clear" w:color="auto" w:fill="auto"/>
            <w:vAlign w:val="center"/>
          </w:tcPr>
          <w:p w14:paraId="560DDB8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解决特殊疑难信访事件</w:t>
            </w:r>
          </w:p>
        </w:tc>
        <w:tc>
          <w:tcPr>
            <w:tcW w:w="664" w:type="pct"/>
            <w:tcBorders>
              <w:top w:val="nil"/>
              <w:left w:val="nil"/>
              <w:bottom w:val="single" w:color="auto" w:sz="4" w:space="0"/>
              <w:right w:val="single" w:color="auto" w:sz="4" w:space="0"/>
            </w:tcBorders>
            <w:shd w:val="clear" w:color="auto" w:fill="auto"/>
            <w:vAlign w:val="center"/>
          </w:tcPr>
          <w:p w14:paraId="6CAB24F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&gt;=5件</w:t>
            </w:r>
          </w:p>
        </w:tc>
        <w:tc>
          <w:tcPr>
            <w:tcW w:w="833" w:type="pct"/>
            <w:tcBorders>
              <w:top w:val="nil"/>
              <w:left w:val="nil"/>
              <w:bottom w:val="single" w:color="auto" w:sz="4" w:space="0"/>
              <w:right w:val="single" w:color="auto" w:sz="4" w:space="0"/>
            </w:tcBorders>
            <w:shd w:val="clear" w:color="auto" w:fill="auto"/>
            <w:vAlign w:val="center"/>
          </w:tcPr>
          <w:p w14:paraId="7CB581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公室2023年工作计划</w:t>
            </w:r>
          </w:p>
        </w:tc>
        <w:tc>
          <w:tcPr>
            <w:tcW w:w="417" w:type="pct"/>
            <w:tcBorders>
              <w:top w:val="nil"/>
              <w:left w:val="nil"/>
              <w:bottom w:val="single" w:color="auto" w:sz="4" w:space="0"/>
              <w:right w:val="single" w:color="auto" w:sz="4" w:space="0"/>
            </w:tcBorders>
            <w:shd w:val="clear" w:color="auto" w:fill="auto"/>
            <w:vAlign w:val="center"/>
          </w:tcPr>
          <w:p w14:paraId="5A4360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498" w:type="pct"/>
            <w:tcBorders>
              <w:top w:val="nil"/>
              <w:left w:val="nil"/>
              <w:bottom w:val="single" w:color="auto" w:sz="4" w:space="0"/>
              <w:right w:val="single" w:color="auto" w:sz="4" w:space="0"/>
            </w:tcBorders>
            <w:shd w:val="clear" w:color="auto" w:fill="auto"/>
            <w:vAlign w:val="center"/>
          </w:tcPr>
          <w:p w14:paraId="65DB479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6件</w:t>
            </w:r>
          </w:p>
        </w:tc>
        <w:tc>
          <w:tcPr>
            <w:tcW w:w="360" w:type="pct"/>
            <w:tcBorders>
              <w:top w:val="nil"/>
              <w:left w:val="nil"/>
              <w:bottom w:val="single" w:color="auto" w:sz="4" w:space="0"/>
              <w:right w:val="single" w:color="auto" w:sz="4" w:space="0"/>
            </w:tcBorders>
            <w:shd w:val="clear" w:color="auto" w:fill="auto"/>
            <w:vAlign w:val="center"/>
          </w:tcPr>
          <w:p w14:paraId="2856C50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4FE63378">
        <w:tblPrEx>
          <w:tblCellMar>
            <w:top w:w="0" w:type="dxa"/>
            <w:left w:w="108" w:type="dxa"/>
            <w:bottom w:w="0" w:type="dxa"/>
            <w:right w:w="108" w:type="dxa"/>
          </w:tblCellMar>
        </w:tblPrEx>
        <w:trPr>
          <w:trHeight w:val="741" w:hRule="atLeast"/>
        </w:trPr>
        <w:tc>
          <w:tcPr>
            <w:tcW w:w="66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2473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482" w:type="pct"/>
            <w:vMerge w:val="continue"/>
            <w:tcBorders>
              <w:top w:val="nil"/>
              <w:left w:val="single" w:color="auto" w:sz="4" w:space="0"/>
              <w:bottom w:val="single" w:color="auto" w:sz="4" w:space="0"/>
              <w:right w:val="single" w:color="auto" w:sz="4" w:space="0"/>
            </w:tcBorders>
            <w:vAlign w:val="center"/>
          </w:tcPr>
          <w:p w14:paraId="337DF094">
            <w:pPr>
              <w:widowControl/>
              <w:jc w:val="left"/>
              <w:rPr>
                <w:rFonts w:hint="eastAsia" w:cs="宋体" w:asciiTheme="minorEastAsia" w:hAnsiTheme="minorEastAsia" w:eastAsiaTheme="minorEastAsia"/>
                <w:kern w:val="0"/>
                <w:sz w:val="20"/>
                <w:szCs w:val="20"/>
              </w:rPr>
            </w:pPr>
          </w:p>
        </w:tc>
        <w:tc>
          <w:tcPr>
            <w:tcW w:w="1080" w:type="pct"/>
            <w:tcBorders>
              <w:top w:val="nil"/>
              <w:left w:val="nil"/>
              <w:bottom w:val="single" w:color="auto" w:sz="4" w:space="0"/>
              <w:right w:val="single" w:color="auto" w:sz="4" w:space="0"/>
            </w:tcBorders>
            <w:shd w:val="clear" w:color="auto" w:fill="auto"/>
            <w:vAlign w:val="center"/>
          </w:tcPr>
          <w:p w14:paraId="01832A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承办电视电话会议</w:t>
            </w:r>
          </w:p>
        </w:tc>
        <w:tc>
          <w:tcPr>
            <w:tcW w:w="664" w:type="pct"/>
            <w:tcBorders>
              <w:top w:val="nil"/>
              <w:left w:val="nil"/>
              <w:bottom w:val="single" w:color="auto" w:sz="4" w:space="0"/>
              <w:right w:val="single" w:color="auto" w:sz="4" w:space="0"/>
            </w:tcBorders>
            <w:shd w:val="clear" w:color="auto" w:fill="auto"/>
            <w:vAlign w:val="center"/>
          </w:tcPr>
          <w:p w14:paraId="20133CD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833" w:type="pct"/>
            <w:tcBorders>
              <w:top w:val="nil"/>
              <w:left w:val="nil"/>
              <w:bottom w:val="single" w:color="auto" w:sz="4" w:space="0"/>
              <w:right w:val="single" w:color="auto" w:sz="4" w:space="0"/>
            </w:tcBorders>
            <w:shd w:val="clear" w:color="auto" w:fill="auto"/>
            <w:vAlign w:val="center"/>
          </w:tcPr>
          <w:p w14:paraId="1D11BD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公室2022年工作总结</w:t>
            </w:r>
          </w:p>
        </w:tc>
        <w:tc>
          <w:tcPr>
            <w:tcW w:w="417" w:type="pct"/>
            <w:tcBorders>
              <w:top w:val="nil"/>
              <w:left w:val="nil"/>
              <w:bottom w:val="single" w:color="auto" w:sz="4" w:space="0"/>
              <w:right w:val="single" w:color="auto" w:sz="4" w:space="0"/>
            </w:tcBorders>
            <w:shd w:val="clear" w:color="auto" w:fill="auto"/>
            <w:vAlign w:val="center"/>
          </w:tcPr>
          <w:p w14:paraId="4C8E82D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498" w:type="pct"/>
            <w:tcBorders>
              <w:top w:val="nil"/>
              <w:left w:val="nil"/>
              <w:bottom w:val="single" w:color="auto" w:sz="4" w:space="0"/>
              <w:right w:val="single" w:color="auto" w:sz="4" w:space="0"/>
            </w:tcBorders>
            <w:shd w:val="clear" w:color="auto" w:fill="auto"/>
            <w:vAlign w:val="center"/>
          </w:tcPr>
          <w:p w14:paraId="123F200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360" w:type="pct"/>
            <w:tcBorders>
              <w:top w:val="nil"/>
              <w:left w:val="nil"/>
              <w:bottom w:val="single" w:color="auto" w:sz="4" w:space="0"/>
              <w:right w:val="single" w:color="auto" w:sz="4" w:space="0"/>
            </w:tcBorders>
            <w:shd w:val="clear" w:color="auto" w:fill="auto"/>
            <w:vAlign w:val="center"/>
          </w:tcPr>
          <w:p w14:paraId="1ABC96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0BD52F5B">
        <w:tblPrEx>
          <w:tblCellMar>
            <w:top w:w="0" w:type="dxa"/>
            <w:left w:w="108" w:type="dxa"/>
            <w:bottom w:w="0" w:type="dxa"/>
            <w:right w:w="108" w:type="dxa"/>
          </w:tblCellMar>
        </w:tblPrEx>
        <w:trPr>
          <w:trHeight w:val="74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4D515850">
            <w:pPr>
              <w:widowControl/>
              <w:jc w:val="center"/>
              <w:rPr>
                <w:rFonts w:hint="eastAsia" w:cs="宋体" w:asciiTheme="minorEastAsia" w:hAnsiTheme="minorEastAsia" w:eastAsiaTheme="minorEastAsia"/>
                <w:kern w:val="0"/>
                <w:sz w:val="20"/>
                <w:szCs w:val="20"/>
              </w:rPr>
            </w:pPr>
          </w:p>
        </w:tc>
        <w:tc>
          <w:tcPr>
            <w:tcW w:w="482" w:type="pct"/>
            <w:vMerge w:val="continue"/>
            <w:tcBorders>
              <w:top w:val="nil"/>
              <w:left w:val="single" w:color="auto" w:sz="4" w:space="0"/>
              <w:bottom w:val="single" w:color="auto" w:sz="4" w:space="0"/>
              <w:right w:val="single" w:color="auto" w:sz="4" w:space="0"/>
            </w:tcBorders>
            <w:vAlign w:val="center"/>
          </w:tcPr>
          <w:p w14:paraId="44B5C71C">
            <w:pPr>
              <w:widowControl/>
              <w:jc w:val="center"/>
              <w:rPr>
                <w:rFonts w:hint="eastAsia" w:cs="宋体" w:asciiTheme="minorEastAsia" w:hAnsiTheme="minorEastAsia" w:eastAsiaTheme="minorEastAsia"/>
                <w:kern w:val="0"/>
                <w:sz w:val="20"/>
                <w:szCs w:val="20"/>
              </w:rPr>
            </w:pPr>
          </w:p>
        </w:tc>
        <w:tc>
          <w:tcPr>
            <w:tcW w:w="1080" w:type="pct"/>
            <w:tcBorders>
              <w:top w:val="nil"/>
              <w:left w:val="nil"/>
              <w:bottom w:val="single" w:color="auto" w:sz="4" w:space="0"/>
              <w:right w:val="single" w:color="auto" w:sz="4" w:space="0"/>
            </w:tcBorders>
            <w:shd w:val="clear" w:color="auto" w:fill="auto"/>
            <w:vAlign w:val="center"/>
          </w:tcPr>
          <w:p w14:paraId="0CA4530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组织各类培训及学习次数</w:t>
            </w:r>
          </w:p>
        </w:tc>
        <w:tc>
          <w:tcPr>
            <w:tcW w:w="664" w:type="pct"/>
            <w:tcBorders>
              <w:top w:val="nil"/>
              <w:left w:val="nil"/>
              <w:bottom w:val="single" w:color="auto" w:sz="4" w:space="0"/>
              <w:right w:val="single" w:color="auto" w:sz="4" w:space="0"/>
            </w:tcBorders>
            <w:shd w:val="clear" w:color="auto" w:fill="auto"/>
            <w:vAlign w:val="center"/>
          </w:tcPr>
          <w:p w14:paraId="171286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&gt;=10次</w:t>
            </w:r>
          </w:p>
        </w:tc>
        <w:tc>
          <w:tcPr>
            <w:tcW w:w="833" w:type="pct"/>
            <w:tcBorders>
              <w:top w:val="nil"/>
              <w:left w:val="nil"/>
              <w:bottom w:val="single" w:color="auto" w:sz="4" w:space="0"/>
              <w:right w:val="single" w:color="auto" w:sz="4" w:space="0"/>
            </w:tcBorders>
            <w:shd w:val="clear" w:color="auto" w:fill="auto"/>
            <w:vAlign w:val="center"/>
          </w:tcPr>
          <w:p w14:paraId="3CC329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公室2023年工作计划</w:t>
            </w:r>
          </w:p>
        </w:tc>
        <w:tc>
          <w:tcPr>
            <w:tcW w:w="417" w:type="pct"/>
            <w:tcBorders>
              <w:top w:val="nil"/>
              <w:left w:val="nil"/>
              <w:bottom w:val="single" w:color="auto" w:sz="4" w:space="0"/>
              <w:right w:val="single" w:color="auto" w:sz="4" w:space="0"/>
            </w:tcBorders>
            <w:shd w:val="clear" w:color="auto" w:fill="auto"/>
            <w:vAlign w:val="center"/>
          </w:tcPr>
          <w:p w14:paraId="2609ABE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vAlign w:val="center"/>
          </w:tcPr>
          <w:p w14:paraId="5C14F6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10次</w:t>
            </w:r>
          </w:p>
        </w:tc>
        <w:tc>
          <w:tcPr>
            <w:tcW w:w="360" w:type="pct"/>
            <w:tcBorders>
              <w:top w:val="nil"/>
              <w:left w:val="nil"/>
              <w:bottom w:val="single" w:color="auto" w:sz="4" w:space="0"/>
              <w:right w:val="single" w:color="auto" w:sz="4" w:space="0"/>
            </w:tcBorders>
            <w:shd w:val="clear" w:color="auto" w:fill="auto"/>
            <w:vAlign w:val="center"/>
          </w:tcPr>
          <w:p w14:paraId="2B44DC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215E82E">
        <w:tblPrEx>
          <w:tblCellMar>
            <w:top w:w="0" w:type="dxa"/>
            <w:left w:w="108" w:type="dxa"/>
            <w:bottom w:w="0" w:type="dxa"/>
            <w:right w:w="108" w:type="dxa"/>
          </w:tblCellMar>
        </w:tblPrEx>
        <w:trPr>
          <w:trHeight w:val="74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0C8670BB">
            <w:pPr>
              <w:widowControl/>
              <w:jc w:val="center"/>
              <w:rPr>
                <w:rFonts w:hint="eastAsia" w:cs="宋体" w:asciiTheme="minorEastAsia" w:hAnsiTheme="minorEastAsia" w:eastAsiaTheme="minorEastAsia"/>
                <w:kern w:val="0"/>
                <w:sz w:val="20"/>
                <w:szCs w:val="20"/>
              </w:rPr>
            </w:pPr>
          </w:p>
        </w:tc>
        <w:tc>
          <w:tcPr>
            <w:tcW w:w="482" w:type="pct"/>
            <w:vMerge w:val="continue"/>
            <w:tcBorders>
              <w:top w:val="nil"/>
              <w:left w:val="single" w:color="auto" w:sz="4" w:space="0"/>
              <w:bottom w:val="single" w:color="auto" w:sz="4" w:space="0"/>
              <w:right w:val="single" w:color="auto" w:sz="4" w:space="0"/>
            </w:tcBorders>
            <w:vAlign w:val="center"/>
          </w:tcPr>
          <w:p w14:paraId="1C9F7207">
            <w:pPr>
              <w:widowControl/>
              <w:jc w:val="center"/>
              <w:rPr>
                <w:rFonts w:hint="eastAsia" w:cs="宋体" w:asciiTheme="minorEastAsia" w:hAnsiTheme="minorEastAsia" w:eastAsiaTheme="minorEastAsia"/>
                <w:kern w:val="0"/>
                <w:sz w:val="20"/>
                <w:szCs w:val="20"/>
              </w:rPr>
            </w:pPr>
          </w:p>
        </w:tc>
        <w:tc>
          <w:tcPr>
            <w:tcW w:w="1080" w:type="pct"/>
            <w:tcBorders>
              <w:top w:val="nil"/>
              <w:left w:val="nil"/>
              <w:bottom w:val="single" w:color="auto" w:sz="4" w:space="0"/>
              <w:right w:val="single" w:color="auto" w:sz="4" w:space="0"/>
            </w:tcBorders>
            <w:shd w:val="clear" w:color="auto" w:fill="auto"/>
            <w:noWrap/>
            <w:vAlign w:val="center"/>
          </w:tcPr>
          <w:p w14:paraId="2BE643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自治区级、自治州级、自治县级会议数量</w:t>
            </w:r>
          </w:p>
        </w:tc>
        <w:tc>
          <w:tcPr>
            <w:tcW w:w="664" w:type="pct"/>
            <w:tcBorders>
              <w:top w:val="nil"/>
              <w:left w:val="nil"/>
              <w:bottom w:val="single" w:color="auto" w:sz="4" w:space="0"/>
              <w:right w:val="single" w:color="auto" w:sz="4" w:space="0"/>
            </w:tcBorders>
            <w:shd w:val="clear" w:color="auto" w:fill="auto"/>
            <w:noWrap/>
            <w:vAlign w:val="center"/>
          </w:tcPr>
          <w:p w14:paraId="3BC966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&gt;=20次</w:t>
            </w:r>
          </w:p>
        </w:tc>
        <w:tc>
          <w:tcPr>
            <w:tcW w:w="833" w:type="pct"/>
            <w:tcBorders>
              <w:top w:val="nil"/>
              <w:left w:val="nil"/>
              <w:bottom w:val="single" w:color="auto" w:sz="4" w:space="0"/>
              <w:right w:val="single" w:color="auto" w:sz="4" w:space="0"/>
            </w:tcBorders>
            <w:shd w:val="clear" w:color="auto" w:fill="auto"/>
            <w:noWrap/>
            <w:vAlign w:val="center"/>
          </w:tcPr>
          <w:p w14:paraId="387759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公室2022年工作总结</w:t>
            </w:r>
          </w:p>
        </w:tc>
        <w:tc>
          <w:tcPr>
            <w:tcW w:w="417" w:type="pct"/>
            <w:tcBorders>
              <w:top w:val="nil"/>
              <w:left w:val="nil"/>
              <w:bottom w:val="single" w:color="auto" w:sz="4" w:space="0"/>
              <w:right w:val="single" w:color="auto" w:sz="4" w:space="0"/>
            </w:tcBorders>
            <w:shd w:val="clear" w:color="auto" w:fill="auto"/>
            <w:noWrap/>
            <w:vAlign w:val="center"/>
          </w:tcPr>
          <w:p w14:paraId="55C35B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498" w:type="pct"/>
            <w:tcBorders>
              <w:top w:val="nil"/>
              <w:left w:val="nil"/>
              <w:bottom w:val="single" w:color="auto" w:sz="4" w:space="0"/>
              <w:right w:val="single" w:color="auto" w:sz="4" w:space="0"/>
            </w:tcBorders>
            <w:shd w:val="clear" w:color="auto" w:fill="auto"/>
            <w:noWrap/>
            <w:vAlign w:val="center"/>
          </w:tcPr>
          <w:p w14:paraId="42A7B5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20次</w:t>
            </w:r>
          </w:p>
        </w:tc>
        <w:tc>
          <w:tcPr>
            <w:tcW w:w="360" w:type="pct"/>
            <w:tcBorders>
              <w:top w:val="nil"/>
              <w:left w:val="nil"/>
              <w:bottom w:val="single" w:color="auto" w:sz="4" w:space="0"/>
              <w:right w:val="single" w:color="auto" w:sz="4" w:space="0"/>
            </w:tcBorders>
            <w:shd w:val="clear" w:color="auto" w:fill="auto"/>
            <w:noWrap/>
            <w:vAlign w:val="center"/>
          </w:tcPr>
          <w:p w14:paraId="36E8F5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66B47F27">
        <w:tblPrEx>
          <w:tblCellMar>
            <w:top w:w="0" w:type="dxa"/>
            <w:left w:w="108" w:type="dxa"/>
            <w:bottom w:w="0" w:type="dxa"/>
            <w:right w:w="108" w:type="dxa"/>
          </w:tblCellMar>
        </w:tblPrEx>
        <w:trPr>
          <w:trHeight w:val="74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3D78E236">
            <w:pPr>
              <w:widowControl/>
              <w:jc w:val="center"/>
              <w:rPr>
                <w:rFonts w:hint="eastAsia" w:cs="宋体" w:asciiTheme="minorEastAsia" w:hAnsiTheme="minorEastAsia" w:eastAsiaTheme="minorEastAsia"/>
                <w:kern w:val="0"/>
                <w:sz w:val="20"/>
                <w:szCs w:val="20"/>
              </w:rPr>
            </w:pPr>
          </w:p>
        </w:tc>
        <w:tc>
          <w:tcPr>
            <w:tcW w:w="482" w:type="pct"/>
            <w:vMerge w:val="restart"/>
            <w:tcBorders>
              <w:top w:val="nil"/>
              <w:left w:val="single" w:color="auto" w:sz="4" w:space="0"/>
              <w:bottom w:val="single" w:color="auto" w:sz="4" w:space="0"/>
              <w:right w:val="single" w:color="auto" w:sz="4" w:space="0"/>
            </w:tcBorders>
            <w:shd w:val="clear" w:color="auto" w:fill="auto"/>
            <w:noWrap/>
            <w:vAlign w:val="center"/>
          </w:tcPr>
          <w:p w14:paraId="618AFF9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80" w:type="pct"/>
            <w:tcBorders>
              <w:top w:val="nil"/>
              <w:left w:val="nil"/>
              <w:bottom w:val="single" w:color="auto" w:sz="4" w:space="0"/>
              <w:right w:val="single" w:color="auto" w:sz="4" w:space="0"/>
            </w:tcBorders>
            <w:shd w:val="clear" w:color="auto" w:fill="auto"/>
            <w:noWrap/>
            <w:vAlign w:val="center"/>
          </w:tcPr>
          <w:p w14:paraId="2C7D2D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处理群众来信来访</w:t>
            </w:r>
            <w:r>
              <w:rPr>
                <w:rFonts w:hint="eastAsia" w:cs="宋体" w:asciiTheme="minorEastAsia" w:hAnsiTheme="minorEastAsia" w:eastAsiaTheme="minorEastAsia"/>
                <w:kern w:val="0"/>
                <w:sz w:val="20"/>
                <w:szCs w:val="20"/>
                <w:lang w:eastAsia="zh-CN"/>
              </w:rPr>
              <w:t>及</w:t>
            </w:r>
            <w:r>
              <w:rPr>
                <w:rFonts w:hint="eastAsia" w:cs="宋体" w:asciiTheme="minorEastAsia" w:hAnsiTheme="minorEastAsia" w:eastAsiaTheme="minorEastAsia"/>
                <w:kern w:val="0"/>
                <w:sz w:val="20"/>
                <w:szCs w:val="20"/>
              </w:rPr>
              <w:t>接待群众来访率</w:t>
            </w:r>
          </w:p>
        </w:tc>
        <w:tc>
          <w:tcPr>
            <w:tcW w:w="664" w:type="pct"/>
            <w:tcBorders>
              <w:top w:val="nil"/>
              <w:left w:val="nil"/>
              <w:bottom w:val="single" w:color="auto" w:sz="4" w:space="0"/>
              <w:right w:val="single" w:color="auto" w:sz="4" w:space="0"/>
            </w:tcBorders>
            <w:shd w:val="clear" w:color="auto" w:fill="auto"/>
            <w:noWrap/>
            <w:vAlign w:val="center"/>
          </w:tcPr>
          <w:p w14:paraId="594B92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833" w:type="pct"/>
            <w:tcBorders>
              <w:top w:val="nil"/>
              <w:left w:val="nil"/>
              <w:bottom w:val="single" w:color="auto" w:sz="4" w:space="0"/>
              <w:right w:val="single" w:color="auto" w:sz="4" w:space="0"/>
            </w:tcBorders>
            <w:shd w:val="clear" w:color="auto" w:fill="auto"/>
            <w:noWrap/>
            <w:vAlign w:val="center"/>
          </w:tcPr>
          <w:p w14:paraId="432D5C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公室2023年工作计划</w:t>
            </w:r>
          </w:p>
        </w:tc>
        <w:tc>
          <w:tcPr>
            <w:tcW w:w="417" w:type="pct"/>
            <w:tcBorders>
              <w:top w:val="nil"/>
              <w:left w:val="nil"/>
              <w:bottom w:val="single" w:color="auto" w:sz="4" w:space="0"/>
              <w:right w:val="single" w:color="auto" w:sz="4" w:space="0"/>
            </w:tcBorders>
            <w:shd w:val="clear" w:color="auto" w:fill="auto"/>
            <w:noWrap/>
            <w:vAlign w:val="center"/>
          </w:tcPr>
          <w:p w14:paraId="3E4FCF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c>
          <w:tcPr>
            <w:tcW w:w="498" w:type="pct"/>
            <w:tcBorders>
              <w:top w:val="nil"/>
              <w:left w:val="nil"/>
              <w:bottom w:val="single" w:color="auto" w:sz="4" w:space="0"/>
              <w:right w:val="single" w:color="auto" w:sz="4" w:space="0"/>
            </w:tcBorders>
            <w:shd w:val="clear" w:color="auto" w:fill="auto"/>
            <w:noWrap/>
            <w:vAlign w:val="center"/>
          </w:tcPr>
          <w:p w14:paraId="16E831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360" w:type="pct"/>
            <w:tcBorders>
              <w:top w:val="nil"/>
              <w:left w:val="nil"/>
              <w:bottom w:val="single" w:color="auto" w:sz="4" w:space="0"/>
              <w:right w:val="single" w:color="auto" w:sz="4" w:space="0"/>
            </w:tcBorders>
            <w:shd w:val="clear" w:color="auto" w:fill="auto"/>
            <w:noWrap/>
            <w:vAlign w:val="center"/>
          </w:tcPr>
          <w:p w14:paraId="64B09E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w:t>
            </w:r>
          </w:p>
        </w:tc>
      </w:tr>
      <w:tr w14:paraId="7BFDE174">
        <w:tblPrEx>
          <w:tblCellMar>
            <w:top w:w="0" w:type="dxa"/>
            <w:left w:w="108" w:type="dxa"/>
            <w:bottom w:w="0" w:type="dxa"/>
            <w:right w:w="108" w:type="dxa"/>
          </w:tblCellMar>
        </w:tblPrEx>
        <w:trPr>
          <w:trHeight w:val="74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357EDCF3">
            <w:pPr>
              <w:widowControl/>
              <w:jc w:val="center"/>
              <w:rPr>
                <w:rFonts w:hint="eastAsia" w:cs="宋体" w:asciiTheme="minorEastAsia" w:hAnsiTheme="minorEastAsia" w:eastAsiaTheme="minorEastAsia"/>
                <w:kern w:val="0"/>
                <w:sz w:val="20"/>
                <w:szCs w:val="20"/>
              </w:rPr>
            </w:pPr>
          </w:p>
        </w:tc>
        <w:tc>
          <w:tcPr>
            <w:tcW w:w="482" w:type="pct"/>
            <w:vMerge w:val="continue"/>
            <w:tcBorders>
              <w:top w:val="nil"/>
              <w:left w:val="single" w:color="auto" w:sz="4" w:space="0"/>
              <w:bottom w:val="single" w:color="auto" w:sz="4" w:space="0"/>
              <w:right w:val="single" w:color="auto" w:sz="4" w:space="0"/>
            </w:tcBorders>
            <w:vAlign w:val="center"/>
          </w:tcPr>
          <w:p w14:paraId="5EEF31B0">
            <w:pPr>
              <w:widowControl/>
              <w:jc w:val="center"/>
              <w:rPr>
                <w:rFonts w:hint="eastAsia" w:cs="宋体" w:asciiTheme="minorEastAsia" w:hAnsiTheme="minorEastAsia" w:eastAsiaTheme="minorEastAsia"/>
                <w:kern w:val="0"/>
                <w:sz w:val="20"/>
                <w:szCs w:val="20"/>
              </w:rPr>
            </w:pPr>
          </w:p>
        </w:tc>
        <w:tc>
          <w:tcPr>
            <w:tcW w:w="1080" w:type="pct"/>
            <w:tcBorders>
              <w:top w:val="nil"/>
              <w:left w:val="nil"/>
              <w:bottom w:val="single" w:color="auto" w:sz="4" w:space="0"/>
              <w:right w:val="single" w:color="auto" w:sz="4" w:space="0"/>
            </w:tcBorders>
            <w:shd w:val="clear" w:color="auto" w:fill="auto"/>
            <w:noWrap/>
            <w:vAlign w:val="center"/>
          </w:tcPr>
          <w:p w14:paraId="19521D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文件起草修改校对质量合格率</w:t>
            </w:r>
          </w:p>
        </w:tc>
        <w:tc>
          <w:tcPr>
            <w:tcW w:w="664" w:type="pct"/>
            <w:tcBorders>
              <w:top w:val="nil"/>
              <w:left w:val="nil"/>
              <w:bottom w:val="single" w:color="auto" w:sz="4" w:space="0"/>
              <w:right w:val="single" w:color="auto" w:sz="4" w:space="0"/>
            </w:tcBorders>
            <w:shd w:val="clear" w:color="auto" w:fill="auto"/>
            <w:noWrap/>
            <w:vAlign w:val="center"/>
          </w:tcPr>
          <w:p w14:paraId="7E502A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833" w:type="pct"/>
            <w:tcBorders>
              <w:top w:val="nil"/>
              <w:left w:val="nil"/>
              <w:bottom w:val="single" w:color="auto" w:sz="4" w:space="0"/>
              <w:right w:val="single" w:color="auto" w:sz="4" w:space="0"/>
            </w:tcBorders>
            <w:shd w:val="clear" w:color="auto" w:fill="auto"/>
            <w:noWrap/>
            <w:vAlign w:val="center"/>
          </w:tcPr>
          <w:p w14:paraId="646D307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公室2023年工作计划</w:t>
            </w:r>
          </w:p>
        </w:tc>
        <w:tc>
          <w:tcPr>
            <w:tcW w:w="417" w:type="pct"/>
            <w:tcBorders>
              <w:top w:val="nil"/>
              <w:left w:val="nil"/>
              <w:bottom w:val="single" w:color="auto" w:sz="4" w:space="0"/>
              <w:right w:val="single" w:color="auto" w:sz="4" w:space="0"/>
            </w:tcBorders>
            <w:shd w:val="clear" w:color="auto" w:fill="auto"/>
            <w:noWrap/>
            <w:vAlign w:val="center"/>
          </w:tcPr>
          <w:p w14:paraId="4BE8540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498" w:type="pct"/>
            <w:tcBorders>
              <w:top w:val="nil"/>
              <w:left w:val="nil"/>
              <w:bottom w:val="single" w:color="auto" w:sz="4" w:space="0"/>
              <w:right w:val="single" w:color="auto" w:sz="4" w:space="0"/>
            </w:tcBorders>
            <w:shd w:val="clear" w:color="auto" w:fill="auto"/>
            <w:noWrap/>
            <w:vAlign w:val="center"/>
          </w:tcPr>
          <w:p w14:paraId="2AEBE5B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360" w:type="pct"/>
            <w:tcBorders>
              <w:top w:val="nil"/>
              <w:left w:val="nil"/>
              <w:bottom w:val="single" w:color="auto" w:sz="4" w:space="0"/>
              <w:right w:val="single" w:color="auto" w:sz="4" w:space="0"/>
            </w:tcBorders>
            <w:shd w:val="clear" w:color="auto" w:fill="auto"/>
            <w:noWrap/>
            <w:vAlign w:val="center"/>
          </w:tcPr>
          <w:p w14:paraId="36D748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45932372">
        <w:tblPrEx>
          <w:tblCellMar>
            <w:top w:w="0" w:type="dxa"/>
            <w:left w:w="108" w:type="dxa"/>
            <w:bottom w:w="0" w:type="dxa"/>
            <w:right w:w="108" w:type="dxa"/>
          </w:tblCellMar>
        </w:tblPrEx>
        <w:trPr>
          <w:trHeight w:val="741" w:hRule="atLeast"/>
        </w:trPr>
        <w:tc>
          <w:tcPr>
            <w:tcW w:w="662" w:type="pct"/>
            <w:vMerge w:val="continue"/>
            <w:tcBorders>
              <w:top w:val="single" w:color="auto" w:sz="4" w:space="0"/>
              <w:left w:val="single" w:color="auto" w:sz="4" w:space="0"/>
              <w:bottom w:val="single" w:color="auto" w:sz="4" w:space="0"/>
              <w:right w:val="single" w:color="auto" w:sz="4" w:space="0"/>
            </w:tcBorders>
            <w:vAlign w:val="center"/>
          </w:tcPr>
          <w:p w14:paraId="55BF086A">
            <w:pPr>
              <w:widowControl/>
              <w:jc w:val="center"/>
              <w:rPr>
                <w:rFonts w:hint="eastAsia" w:cs="宋体" w:asciiTheme="minorEastAsia" w:hAnsiTheme="minorEastAsia" w:eastAsiaTheme="minorEastAsia"/>
                <w:kern w:val="0"/>
                <w:sz w:val="20"/>
                <w:szCs w:val="20"/>
              </w:rPr>
            </w:pPr>
          </w:p>
        </w:tc>
        <w:tc>
          <w:tcPr>
            <w:tcW w:w="482" w:type="pct"/>
            <w:tcBorders>
              <w:top w:val="nil"/>
              <w:left w:val="nil"/>
              <w:bottom w:val="single" w:color="auto" w:sz="4" w:space="0"/>
              <w:right w:val="single" w:color="auto" w:sz="4" w:space="0"/>
            </w:tcBorders>
            <w:shd w:val="clear" w:color="auto" w:fill="auto"/>
            <w:noWrap/>
            <w:vAlign w:val="center"/>
          </w:tcPr>
          <w:p w14:paraId="1CB2AC4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080" w:type="pct"/>
            <w:tcBorders>
              <w:top w:val="nil"/>
              <w:left w:val="nil"/>
              <w:bottom w:val="single" w:color="auto" w:sz="4" w:space="0"/>
              <w:right w:val="single" w:color="auto" w:sz="4" w:space="0"/>
            </w:tcBorders>
            <w:shd w:val="clear" w:color="auto" w:fill="auto"/>
            <w:noWrap/>
            <w:vAlign w:val="center"/>
          </w:tcPr>
          <w:p w14:paraId="0D886E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各类重要文件处理及时率</w:t>
            </w:r>
          </w:p>
        </w:tc>
        <w:tc>
          <w:tcPr>
            <w:tcW w:w="664" w:type="pct"/>
            <w:tcBorders>
              <w:top w:val="nil"/>
              <w:left w:val="nil"/>
              <w:bottom w:val="single" w:color="auto" w:sz="4" w:space="0"/>
              <w:right w:val="single" w:color="auto" w:sz="4" w:space="0"/>
            </w:tcBorders>
            <w:shd w:val="clear" w:color="auto" w:fill="auto"/>
            <w:noWrap/>
            <w:vAlign w:val="center"/>
          </w:tcPr>
          <w:p w14:paraId="45FC24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833" w:type="pct"/>
            <w:tcBorders>
              <w:top w:val="nil"/>
              <w:left w:val="nil"/>
              <w:bottom w:val="single" w:color="auto" w:sz="4" w:space="0"/>
              <w:right w:val="single" w:color="auto" w:sz="4" w:space="0"/>
            </w:tcBorders>
            <w:shd w:val="clear" w:color="auto" w:fill="auto"/>
            <w:noWrap/>
            <w:vAlign w:val="center"/>
          </w:tcPr>
          <w:p w14:paraId="75042E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公室2023年工作计划</w:t>
            </w:r>
          </w:p>
        </w:tc>
        <w:tc>
          <w:tcPr>
            <w:tcW w:w="417" w:type="pct"/>
            <w:tcBorders>
              <w:top w:val="nil"/>
              <w:left w:val="nil"/>
              <w:bottom w:val="single" w:color="auto" w:sz="4" w:space="0"/>
              <w:right w:val="single" w:color="auto" w:sz="4" w:space="0"/>
            </w:tcBorders>
            <w:shd w:val="clear" w:color="auto" w:fill="auto"/>
            <w:noWrap/>
            <w:vAlign w:val="center"/>
          </w:tcPr>
          <w:p w14:paraId="3C8577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498" w:type="pct"/>
            <w:tcBorders>
              <w:top w:val="nil"/>
              <w:left w:val="nil"/>
              <w:bottom w:val="single" w:color="auto" w:sz="4" w:space="0"/>
              <w:right w:val="single" w:color="auto" w:sz="4" w:space="0"/>
            </w:tcBorders>
            <w:shd w:val="clear" w:color="auto" w:fill="auto"/>
            <w:noWrap/>
            <w:vAlign w:val="center"/>
          </w:tcPr>
          <w:p w14:paraId="67452B8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360" w:type="pct"/>
            <w:tcBorders>
              <w:top w:val="nil"/>
              <w:left w:val="nil"/>
              <w:bottom w:val="single" w:color="auto" w:sz="4" w:space="0"/>
              <w:right w:val="single" w:color="auto" w:sz="4" w:space="0"/>
            </w:tcBorders>
            <w:shd w:val="clear" w:color="auto" w:fill="auto"/>
            <w:noWrap/>
            <w:vAlign w:val="center"/>
          </w:tcPr>
          <w:p w14:paraId="63A4D52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54C9E812">
        <w:tblPrEx>
          <w:tblCellMar>
            <w:top w:w="0" w:type="dxa"/>
            <w:left w:w="108" w:type="dxa"/>
            <w:bottom w:w="0" w:type="dxa"/>
            <w:right w:w="108" w:type="dxa"/>
          </w:tblCellMar>
        </w:tblPrEx>
        <w:trPr>
          <w:trHeight w:val="741" w:hRule="atLeast"/>
        </w:trPr>
        <w:tc>
          <w:tcPr>
            <w:tcW w:w="662" w:type="pct"/>
            <w:tcBorders>
              <w:top w:val="single" w:color="auto" w:sz="4" w:space="0"/>
              <w:left w:val="single" w:color="auto" w:sz="4" w:space="0"/>
              <w:bottom w:val="single" w:color="auto" w:sz="4" w:space="0"/>
              <w:right w:val="single" w:color="auto" w:sz="4" w:space="0"/>
            </w:tcBorders>
            <w:shd w:val="clear" w:color="auto" w:fill="auto"/>
            <w:noWrap/>
            <w:vAlign w:val="center"/>
          </w:tcPr>
          <w:p w14:paraId="1D32671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482" w:type="pct"/>
            <w:tcBorders>
              <w:top w:val="nil"/>
              <w:left w:val="nil"/>
              <w:bottom w:val="single" w:color="auto" w:sz="4" w:space="0"/>
              <w:right w:val="single" w:color="auto" w:sz="4" w:space="0"/>
            </w:tcBorders>
            <w:shd w:val="clear" w:color="auto" w:fill="auto"/>
            <w:noWrap/>
            <w:vAlign w:val="center"/>
          </w:tcPr>
          <w:p w14:paraId="31AA55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080" w:type="pct"/>
            <w:tcBorders>
              <w:top w:val="nil"/>
              <w:left w:val="nil"/>
              <w:bottom w:val="single" w:color="auto" w:sz="4" w:space="0"/>
              <w:right w:val="single" w:color="auto" w:sz="4" w:space="0"/>
            </w:tcBorders>
            <w:shd w:val="clear" w:color="auto" w:fill="auto"/>
            <w:noWrap/>
            <w:vAlign w:val="center"/>
          </w:tcPr>
          <w:p w14:paraId="6E941A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相关部门满意度</w:t>
            </w:r>
          </w:p>
        </w:tc>
        <w:tc>
          <w:tcPr>
            <w:tcW w:w="664" w:type="pct"/>
            <w:tcBorders>
              <w:top w:val="nil"/>
              <w:left w:val="nil"/>
              <w:bottom w:val="single" w:color="auto" w:sz="4" w:space="0"/>
              <w:right w:val="single" w:color="auto" w:sz="4" w:space="0"/>
            </w:tcBorders>
            <w:shd w:val="clear" w:color="auto" w:fill="auto"/>
            <w:noWrap/>
            <w:vAlign w:val="center"/>
          </w:tcPr>
          <w:p w14:paraId="42B9A8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833" w:type="pct"/>
            <w:tcBorders>
              <w:top w:val="nil"/>
              <w:left w:val="nil"/>
              <w:bottom w:val="single" w:color="auto" w:sz="4" w:space="0"/>
              <w:right w:val="single" w:color="auto" w:sz="4" w:space="0"/>
            </w:tcBorders>
            <w:shd w:val="clear" w:color="auto" w:fill="auto"/>
            <w:noWrap/>
            <w:vAlign w:val="center"/>
          </w:tcPr>
          <w:p w14:paraId="67839B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木垒哈萨克自治县人民政府办公室</w:t>
            </w:r>
            <w:r>
              <w:rPr>
                <w:rFonts w:hint="eastAsia" w:cs="宋体" w:asciiTheme="minorEastAsia" w:hAnsiTheme="minorEastAsia" w:eastAsiaTheme="minorEastAsia"/>
                <w:kern w:val="0"/>
                <w:sz w:val="20"/>
                <w:szCs w:val="20"/>
              </w:rPr>
              <w:t>公室2022年工作总结</w:t>
            </w:r>
          </w:p>
        </w:tc>
        <w:tc>
          <w:tcPr>
            <w:tcW w:w="417" w:type="pct"/>
            <w:tcBorders>
              <w:top w:val="nil"/>
              <w:left w:val="nil"/>
              <w:bottom w:val="single" w:color="auto" w:sz="4" w:space="0"/>
              <w:right w:val="single" w:color="auto" w:sz="4" w:space="0"/>
            </w:tcBorders>
            <w:shd w:val="clear" w:color="auto" w:fill="auto"/>
            <w:noWrap/>
            <w:vAlign w:val="center"/>
          </w:tcPr>
          <w:p w14:paraId="3EEC01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498" w:type="pct"/>
            <w:tcBorders>
              <w:top w:val="nil"/>
              <w:left w:val="nil"/>
              <w:bottom w:val="single" w:color="auto" w:sz="4" w:space="0"/>
              <w:right w:val="single" w:color="auto" w:sz="4" w:space="0"/>
            </w:tcBorders>
            <w:shd w:val="clear" w:color="auto" w:fill="auto"/>
            <w:noWrap/>
            <w:vAlign w:val="center"/>
          </w:tcPr>
          <w:p w14:paraId="7F014B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360" w:type="pct"/>
            <w:tcBorders>
              <w:top w:val="nil"/>
              <w:left w:val="nil"/>
              <w:bottom w:val="single" w:color="auto" w:sz="4" w:space="0"/>
              <w:right w:val="single" w:color="auto" w:sz="4" w:space="0"/>
            </w:tcBorders>
            <w:shd w:val="clear" w:color="auto" w:fill="auto"/>
            <w:noWrap/>
            <w:vAlign w:val="center"/>
          </w:tcPr>
          <w:p w14:paraId="6FC432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06DFE888">
      <w:pPr>
        <w:ind w:firstLine="640" w:firstLineChars="200"/>
        <w:jc w:val="left"/>
        <w:rPr>
          <w:rFonts w:ascii="仿宋_GB2312" w:eastAsia="仿宋_GB2312"/>
          <w:sz w:val="32"/>
          <w:szCs w:val="32"/>
        </w:rPr>
      </w:pPr>
    </w:p>
    <w:tbl>
      <w:tblPr>
        <w:tblStyle w:val="9"/>
        <w:tblW w:w="5000" w:type="pct"/>
        <w:tblInd w:w="0" w:type="dxa"/>
        <w:tblLayout w:type="autofit"/>
        <w:tblCellMar>
          <w:top w:w="0" w:type="dxa"/>
          <w:left w:w="108" w:type="dxa"/>
          <w:bottom w:w="0" w:type="dxa"/>
          <w:right w:w="108" w:type="dxa"/>
        </w:tblCellMar>
      </w:tblPr>
      <w:tblGrid>
        <w:gridCol w:w="435"/>
        <w:gridCol w:w="538"/>
        <w:gridCol w:w="901"/>
        <w:gridCol w:w="822"/>
        <w:gridCol w:w="1214"/>
        <w:gridCol w:w="181"/>
        <w:gridCol w:w="917"/>
        <w:gridCol w:w="816"/>
        <w:gridCol w:w="237"/>
        <w:gridCol w:w="653"/>
        <w:gridCol w:w="176"/>
        <w:gridCol w:w="696"/>
        <w:gridCol w:w="220"/>
        <w:gridCol w:w="716"/>
      </w:tblGrid>
      <w:tr w14:paraId="57E0AA8F">
        <w:tblPrEx>
          <w:tblCellMar>
            <w:top w:w="0" w:type="dxa"/>
            <w:left w:w="108" w:type="dxa"/>
            <w:bottom w:w="0" w:type="dxa"/>
            <w:right w:w="108" w:type="dxa"/>
          </w:tblCellMar>
        </w:tblPrEx>
        <w:trPr>
          <w:trHeight w:val="405" w:hRule="atLeast"/>
        </w:trPr>
        <w:tc>
          <w:tcPr>
            <w:tcW w:w="5000" w:type="pct"/>
            <w:gridSpan w:val="14"/>
            <w:tcBorders>
              <w:top w:val="nil"/>
              <w:left w:val="nil"/>
              <w:bottom w:val="nil"/>
              <w:right w:val="nil"/>
            </w:tcBorders>
            <w:shd w:val="clear" w:color="auto" w:fill="auto"/>
            <w:vAlign w:val="center"/>
          </w:tcPr>
          <w:p w14:paraId="16766A82">
            <w:pPr>
              <w:widowControl/>
              <w:jc w:val="center"/>
              <w:textAlignment w:val="center"/>
              <w:rPr>
                <w:rFonts w:hint="eastAsia" w:ascii="宋体" w:hAnsi="宋体" w:cs="宋体"/>
                <w:b/>
                <w:bCs/>
                <w:color w:val="000000"/>
                <w:sz w:val="32"/>
                <w:szCs w:val="32"/>
              </w:rPr>
            </w:pPr>
            <w:r>
              <w:rPr>
                <w:rFonts w:hint="eastAsia" w:ascii="宋体" w:hAnsi="宋体" w:cs="宋体"/>
                <w:b/>
                <w:bCs/>
                <w:color w:val="000000"/>
                <w:kern w:val="0"/>
                <w:sz w:val="32"/>
                <w:szCs w:val="32"/>
                <w:lang w:bidi="ar"/>
              </w:rPr>
              <w:t>项目支出绩效自评表</w:t>
            </w:r>
          </w:p>
        </w:tc>
      </w:tr>
      <w:tr w14:paraId="3F72432B">
        <w:tblPrEx>
          <w:tblCellMar>
            <w:top w:w="0" w:type="dxa"/>
            <w:left w:w="108" w:type="dxa"/>
            <w:bottom w:w="0" w:type="dxa"/>
            <w:right w:w="108" w:type="dxa"/>
          </w:tblCellMar>
        </w:tblPrEx>
        <w:trPr>
          <w:trHeight w:val="270" w:hRule="atLeast"/>
        </w:trPr>
        <w:tc>
          <w:tcPr>
            <w:tcW w:w="5000" w:type="pct"/>
            <w:gridSpan w:val="14"/>
            <w:tcBorders>
              <w:top w:val="nil"/>
              <w:left w:val="nil"/>
              <w:bottom w:val="nil"/>
              <w:right w:val="nil"/>
            </w:tcBorders>
            <w:shd w:val="clear" w:color="auto" w:fill="auto"/>
            <w:vAlign w:val="center"/>
          </w:tcPr>
          <w:p w14:paraId="60FC05AA">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sz w:val="20"/>
                <w:szCs w:val="20"/>
                <w:lang w:eastAsia="zh-CN"/>
              </w:rPr>
              <w:t>（</w:t>
            </w:r>
            <w:r>
              <w:rPr>
                <w:rFonts w:hint="eastAsia" w:ascii="宋体" w:hAnsi="宋体" w:cs="宋体"/>
                <w:color w:val="000000"/>
                <w:sz w:val="20"/>
                <w:szCs w:val="20"/>
                <w:lang w:val="en-US" w:eastAsia="zh-CN"/>
              </w:rPr>
              <w:t>2023年度</w:t>
            </w:r>
            <w:r>
              <w:rPr>
                <w:rFonts w:hint="eastAsia" w:ascii="宋体" w:hAnsi="宋体" w:cs="宋体"/>
                <w:color w:val="000000"/>
                <w:sz w:val="20"/>
                <w:szCs w:val="20"/>
                <w:lang w:eastAsia="zh-CN"/>
              </w:rPr>
              <w:t>）</w:t>
            </w:r>
          </w:p>
        </w:tc>
      </w:tr>
      <w:tr w14:paraId="57BA4D51">
        <w:tblPrEx>
          <w:tblCellMar>
            <w:top w:w="0" w:type="dxa"/>
            <w:left w:w="108" w:type="dxa"/>
            <w:bottom w:w="0" w:type="dxa"/>
            <w:right w:w="108" w:type="dxa"/>
          </w:tblCellMar>
        </w:tblPrEx>
        <w:trPr>
          <w:trHeight w:val="270" w:hRule="atLeast"/>
        </w:trPr>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879E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项目名称</w:t>
            </w:r>
          </w:p>
        </w:tc>
        <w:tc>
          <w:tcPr>
            <w:tcW w:w="4428"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6D801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政府办公室购置新能源车辆资金</w:t>
            </w:r>
          </w:p>
        </w:tc>
      </w:tr>
      <w:tr w14:paraId="37F41E29">
        <w:tblPrEx>
          <w:tblCellMar>
            <w:top w:w="0" w:type="dxa"/>
            <w:left w:w="108" w:type="dxa"/>
            <w:bottom w:w="0" w:type="dxa"/>
            <w:right w:w="108" w:type="dxa"/>
          </w:tblCellMar>
        </w:tblPrEx>
        <w:trPr>
          <w:trHeight w:val="270" w:hRule="atLeast"/>
        </w:trPr>
        <w:tc>
          <w:tcPr>
            <w:tcW w:w="57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34FD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主管部门</w:t>
            </w:r>
          </w:p>
        </w:tc>
        <w:tc>
          <w:tcPr>
            <w:tcW w:w="236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8E0D47B">
            <w:pPr>
              <w:widowControl/>
              <w:jc w:val="center"/>
              <w:textAlignment w:val="center"/>
              <w:rPr>
                <w:rFonts w:hint="eastAsia" w:ascii="宋体" w:hAnsi="宋体" w:eastAsia="宋体" w:cs="宋体"/>
                <w:color w:val="000000"/>
                <w:sz w:val="20"/>
                <w:szCs w:val="20"/>
                <w:lang w:eastAsia="zh-CN"/>
              </w:rPr>
            </w:pPr>
            <w:bookmarkStart w:id="48" w:name="_GoBack"/>
            <w:bookmarkEnd w:id="48"/>
            <w:r>
              <w:rPr>
                <w:rFonts w:hint="eastAsia" w:ascii="宋体" w:hAnsi="宋体" w:cs="宋体"/>
                <w:color w:val="000000"/>
                <w:kern w:val="0"/>
                <w:sz w:val="20"/>
                <w:szCs w:val="20"/>
                <w:lang w:eastAsia="zh-CN" w:bidi="ar"/>
              </w:rPr>
              <w:t>木垒哈萨克自治县人民政府办公室</w:t>
            </w:r>
          </w:p>
        </w:tc>
        <w:tc>
          <w:tcPr>
            <w:tcW w:w="6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442A3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实施单位</w:t>
            </w:r>
          </w:p>
        </w:tc>
        <w:tc>
          <w:tcPr>
            <w:tcW w:w="144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613FD95">
            <w:pPr>
              <w:widowControl/>
              <w:jc w:val="center"/>
              <w:textAlignment w:val="center"/>
              <w:rPr>
                <w:rFonts w:hint="eastAsia" w:ascii="宋体" w:hAnsi="宋体" w:eastAsia="宋体" w:cs="宋体"/>
                <w:color w:val="000000"/>
                <w:sz w:val="20"/>
                <w:szCs w:val="20"/>
                <w:lang w:eastAsia="zh-CN"/>
              </w:rPr>
            </w:pPr>
            <w:r>
              <w:rPr>
                <w:rFonts w:hint="eastAsia" w:ascii="宋体" w:hAnsi="宋体" w:cs="宋体"/>
                <w:color w:val="000000"/>
                <w:kern w:val="0"/>
                <w:sz w:val="20"/>
                <w:szCs w:val="20"/>
                <w:lang w:eastAsia="zh-CN" w:bidi="ar"/>
              </w:rPr>
              <w:t>木垒哈萨克自治县人民政府办公室</w:t>
            </w:r>
          </w:p>
        </w:tc>
      </w:tr>
      <w:tr w14:paraId="55A650C7">
        <w:tblPrEx>
          <w:tblCellMar>
            <w:top w:w="0" w:type="dxa"/>
            <w:left w:w="108" w:type="dxa"/>
            <w:bottom w:w="0" w:type="dxa"/>
            <w:right w:w="108" w:type="dxa"/>
          </w:tblCellMar>
        </w:tblPrEx>
        <w:trPr>
          <w:trHeight w:val="639" w:hRule="atLeast"/>
        </w:trPr>
        <w:tc>
          <w:tcPr>
            <w:tcW w:w="57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35ED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项目资金</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（万元）</w:t>
            </w: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DF6318">
            <w:pPr>
              <w:jc w:val="center"/>
              <w:rPr>
                <w:rFonts w:hint="eastAsia" w:ascii="宋体" w:hAnsi="宋体" w:cs="宋体"/>
                <w:color w:val="000000"/>
                <w:sz w:val="20"/>
                <w:szCs w:val="20"/>
              </w:rPr>
            </w:pP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981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B299A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6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C6FB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5B5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33DA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48F3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14FAFD7">
        <w:tblPrEx>
          <w:tblCellMar>
            <w:top w:w="0" w:type="dxa"/>
            <w:left w:w="108" w:type="dxa"/>
            <w:bottom w:w="0" w:type="dxa"/>
            <w:right w:w="108" w:type="dxa"/>
          </w:tblCellMar>
        </w:tblPrEx>
        <w:trPr>
          <w:trHeight w:val="440" w:hRule="atLeast"/>
        </w:trPr>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5C20D">
            <w:pPr>
              <w:jc w:val="center"/>
              <w:rPr>
                <w:rFonts w:hint="eastAsia" w:ascii="宋体" w:hAnsi="宋体" w:cs="宋体"/>
                <w:color w:val="000000"/>
                <w:sz w:val="20"/>
                <w:szCs w:val="20"/>
              </w:rPr>
            </w:pP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A24B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年度资金总额</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30A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50.51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0738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50.51</w:t>
            </w:r>
          </w:p>
        </w:tc>
        <w:tc>
          <w:tcPr>
            <w:tcW w:w="6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070A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50.51</w:t>
            </w: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2EBE1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F53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100.00%</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D77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10.00</w:t>
            </w:r>
          </w:p>
        </w:tc>
      </w:tr>
      <w:tr w14:paraId="531AD5E6">
        <w:tblPrEx>
          <w:tblCellMar>
            <w:top w:w="0" w:type="dxa"/>
            <w:left w:w="108" w:type="dxa"/>
            <w:bottom w:w="0" w:type="dxa"/>
            <w:right w:w="108" w:type="dxa"/>
          </w:tblCellMar>
        </w:tblPrEx>
        <w:trPr>
          <w:trHeight w:val="440" w:hRule="atLeast"/>
        </w:trPr>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97AFC">
            <w:pPr>
              <w:jc w:val="center"/>
              <w:rPr>
                <w:rFonts w:hint="eastAsia" w:ascii="宋体" w:hAnsi="宋体" w:cs="宋体"/>
                <w:color w:val="000000"/>
                <w:sz w:val="20"/>
                <w:szCs w:val="20"/>
              </w:rPr>
            </w:pP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8FF2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其中：当年财政拨款</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421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50.51</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C8DE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50.51</w:t>
            </w:r>
          </w:p>
        </w:tc>
        <w:tc>
          <w:tcPr>
            <w:tcW w:w="6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1F80E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50.51</w:t>
            </w: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A0F47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F3B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793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6E77C7D">
        <w:tblPrEx>
          <w:tblCellMar>
            <w:top w:w="0" w:type="dxa"/>
            <w:left w:w="108" w:type="dxa"/>
            <w:bottom w:w="0" w:type="dxa"/>
            <w:right w:w="108" w:type="dxa"/>
          </w:tblCellMar>
        </w:tblPrEx>
        <w:trPr>
          <w:trHeight w:val="440" w:hRule="atLeast"/>
        </w:trPr>
        <w:tc>
          <w:tcPr>
            <w:tcW w:w="57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8CCC18">
            <w:pPr>
              <w:jc w:val="center"/>
              <w:rPr>
                <w:rFonts w:hint="eastAsia" w:ascii="宋体" w:hAnsi="宋体" w:cs="宋体"/>
                <w:color w:val="000000"/>
                <w:sz w:val="20"/>
                <w:szCs w:val="20"/>
              </w:rPr>
            </w:pPr>
          </w:p>
        </w:tc>
        <w:tc>
          <w:tcPr>
            <w:tcW w:w="10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7E92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  其他资金</w:t>
            </w:r>
          </w:p>
        </w:tc>
        <w:tc>
          <w:tcPr>
            <w:tcW w:w="7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B40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4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CA15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61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9925B8">
            <w:pPr>
              <w:jc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48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48ED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53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C8F9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B8B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0950CBB4">
        <w:tblPrEx>
          <w:tblCellMar>
            <w:top w:w="0" w:type="dxa"/>
            <w:left w:w="108" w:type="dxa"/>
            <w:bottom w:w="0" w:type="dxa"/>
            <w:right w:w="108" w:type="dxa"/>
          </w:tblCellMar>
        </w:tblPrEx>
        <w:trPr>
          <w:trHeight w:val="270"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9FAF4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2682"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E136D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2062"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A6B81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41FBB744">
        <w:tblPrEx>
          <w:tblCellMar>
            <w:top w:w="0" w:type="dxa"/>
            <w:left w:w="108" w:type="dxa"/>
            <w:bottom w:w="0" w:type="dxa"/>
            <w:right w:w="108" w:type="dxa"/>
          </w:tblCellMar>
        </w:tblPrEx>
        <w:trPr>
          <w:trHeight w:val="102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A3662B">
            <w:pPr>
              <w:jc w:val="center"/>
              <w:rPr>
                <w:rFonts w:hint="eastAsia" w:ascii="宋体" w:hAnsi="宋体" w:cs="宋体"/>
                <w:color w:val="000000"/>
                <w:sz w:val="20"/>
                <w:szCs w:val="20"/>
              </w:rPr>
            </w:pPr>
          </w:p>
        </w:tc>
        <w:tc>
          <w:tcPr>
            <w:tcW w:w="2682" w:type="pct"/>
            <w:gridSpan w:val="6"/>
            <w:tcBorders>
              <w:top w:val="single" w:color="000000" w:sz="4" w:space="0"/>
              <w:left w:val="single" w:color="000000" w:sz="4" w:space="0"/>
              <w:bottom w:val="single" w:color="000000" w:sz="4" w:space="0"/>
              <w:right w:val="single" w:color="000000" w:sz="4" w:space="0"/>
            </w:tcBorders>
            <w:shd w:val="clear" w:color="auto" w:fill="auto"/>
          </w:tcPr>
          <w:p w14:paraId="46937F26">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木垒哈萨克自治县人民政府办公室</w:t>
            </w:r>
            <w:r>
              <w:rPr>
                <w:rFonts w:hint="eastAsia" w:ascii="宋体" w:hAnsi="宋体" w:cs="宋体"/>
                <w:color w:val="000000"/>
                <w:kern w:val="0"/>
                <w:sz w:val="20"/>
                <w:szCs w:val="20"/>
                <w:lang w:bidi="ar"/>
              </w:rPr>
              <w:t>公室根据年度工作需求，申请财政资金50.51万元，购置新能源车辆3辆，方便干部办公出行，提高工作效率，降低车辆维修费用，减少环境污染。</w:t>
            </w:r>
          </w:p>
        </w:tc>
        <w:tc>
          <w:tcPr>
            <w:tcW w:w="2062" w:type="pct"/>
            <w:gridSpan w:val="7"/>
            <w:tcBorders>
              <w:top w:val="single" w:color="000000" w:sz="4" w:space="0"/>
              <w:left w:val="single" w:color="000000" w:sz="4" w:space="0"/>
              <w:bottom w:val="single" w:color="000000" w:sz="4" w:space="0"/>
              <w:right w:val="single" w:color="000000" w:sz="4" w:space="0"/>
            </w:tcBorders>
            <w:shd w:val="clear" w:color="auto" w:fill="auto"/>
          </w:tcPr>
          <w:p w14:paraId="2381B4A4">
            <w:pPr>
              <w:widowControl/>
              <w:jc w:val="left"/>
              <w:textAlignment w:val="top"/>
              <w:rPr>
                <w:rFonts w:hint="eastAsia" w:ascii="宋体" w:hAnsi="宋体" w:cs="宋体"/>
                <w:color w:val="000000"/>
                <w:sz w:val="20"/>
                <w:szCs w:val="20"/>
              </w:rPr>
            </w:pPr>
            <w:r>
              <w:rPr>
                <w:rFonts w:hint="eastAsia" w:ascii="宋体" w:hAnsi="宋体" w:cs="宋体"/>
                <w:color w:val="000000"/>
                <w:kern w:val="0"/>
                <w:sz w:val="20"/>
                <w:szCs w:val="20"/>
                <w:lang w:eastAsia="zh-CN" w:bidi="ar"/>
              </w:rPr>
              <w:t>截至</w:t>
            </w:r>
            <w:r>
              <w:rPr>
                <w:rFonts w:hint="eastAsia" w:ascii="宋体" w:hAnsi="宋体" w:cs="宋体"/>
                <w:color w:val="000000"/>
                <w:kern w:val="0"/>
                <w:sz w:val="20"/>
                <w:szCs w:val="20"/>
                <w:lang w:bidi="ar"/>
              </w:rPr>
              <w:t>自评之日，木垒县人民政府办公室已购置新能源车辆3辆，购置车辆质量合格率与政府采购执行率均达到100%，方便了干部办公出行，提高了工作效率，降低了车辆维修费用，减少了环境污染。</w:t>
            </w:r>
          </w:p>
        </w:tc>
      </w:tr>
      <w:tr w14:paraId="574F5948">
        <w:tblPrEx>
          <w:tblCellMar>
            <w:top w:w="0" w:type="dxa"/>
            <w:left w:w="108" w:type="dxa"/>
            <w:bottom w:w="0" w:type="dxa"/>
            <w:right w:w="108" w:type="dxa"/>
          </w:tblCellMar>
        </w:tblPrEx>
        <w:trPr>
          <w:trHeight w:val="312"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B294AD">
            <w:pPr>
              <w:jc w:val="center"/>
              <w:rPr>
                <w:rFonts w:hint="eastAsia" w:ascii="宋体" w:hAnsi="宋体" w:cs="宋体"/>
                <w:color w:val="000000"/>
                <w:sz w:val="20"/>
                <w:szCs w:val="20"/>
              </w:rPr>
            </w:pP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FE9D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5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B93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30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C6B84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5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9832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年度指标值</w:t>
            </w:r>
          </w:p>
        </w:tc>
        <w:tc>
          <w:tcPr>
            <w:tcW w:w="47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E435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实际完成值</w:t>
            </w:r>
          </w:p>
        </w:tc>
        <w:tc>
          <w:tcPr>
            <w:tcW w:w="52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675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w:t>
            </w:r>
          </w:p>
        </w:tc>
        <w:tc>
          <w:tcPr>
            <w:tcW w:w="511"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4219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c>
          <w:tcPr>
            <w:tcW w:w="55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E2EA9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偏差原因分析及改进措施</w:t>
            </w:r>
          </w:p>
        </w:tc>
      </w:tr>
      <w:tr w14:paraId="2B5AC116">
        <w:tblPrEx>
          <w:tblCellMar>
            <w:top w:w="0" w:type="dxa"/>
            <w:left w:w="108" w:type="dxa"/>
            <w:bottom w:w="0" w:type="dxa"/>
            <w:right w:w="108" w:type="dxa"/>
          </w:tblCellMar>
        </w:tblPrEx>
        <w:trPr>
          <w:trHeight w:val="436"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210DAE">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167C9E">
            <w:pPr>
              <w:jc w:val="center"/>
              <w:rPr>
                <w:rFonts w:hint="eastAsia" w:ascii="宋体" w:hAnsi="宋体" w:cs="宋体"/>
                <w:color w:val="000000"/>
                <w:sz w:val="20"/>
                <w:szCs w:val="20"/>
              </w:rPr>
            </w:pPr>
          </w:p>
        </w:tc>
        <w:tc>
          <w:tcPr>
            <w:tcW w:w="5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B779E9">
            <w:pPr>
              <w:jc w:val="center"/>
              <w:rPr>
                <w:rFonts w:hint="eastAsia" w:ascii="宋体" w:hAnsi="宋体" w:cs="宋体"/>
                <w:color w:val="000000"/>
                <w:sz w:val="20"/>
                <w:szCs w:val="20"/>
              </w:rPr>
            </w:pPr>
          </w:p>
        </w:tc>
        <w:tc>
          <w:tcPr>
            <w:tcW w:w="130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CC88B">
            <w:pPr>
              <w:jc w:val="center"/>
              <w:rPr>
                <w:rFonts w:hint="eastAsia" w:ascii="宋体" w:hAnsi="宋体" w:cs="宋体"/>
                <w:color w:val="000000"/>
                <w:sz w:val="20"/>
                <w:szCs w:val="20"/>
              </w:rPr>
            </w:pPr>
          </w:p>
        </w:tc>
        <w:tc>
          <w:tcPr>
            <w:tcW w:w="5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66D30">
            <w:pPr>
              <w:jc w:val="center"/>
              <w:rPr>
                <w:rFonts w:hint="eastAsia" w:ascii="宋体" w:hAnsi="宋体" w:cs="宋体"/>
                <w:color w:val="000000"/>
                <w:sz w:val="20"/>
                <w:szCs w:val="20"/>
              </w:rPr>
            </w:pPr>
          </w:p>
        </w:tc>
        <w:tc>
          <w:tcPr>
            <w:tcW w:w="47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07AB78">
            <w:pPr>
              <w:jc w:val="center"/>
              <w:rPr>
                <w:rFonts w:hint="eastAsia" w:ascii="宋体" w:hAnsi="宋体" w:cs="宋体"/>
                <w:color w:val="000000"/>
                <w:sz w:val="20"/>
                <w:szCs w:val="20"/>
              </w:rPr>
            </w:pPr>
          </w:p>
        </w:tc>
        <w:tc>
          <w:tcPr>
            <w:tcW w:w="52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49FD0D">
            <w:pPr>
              <w:jc w:val="center"/>
              <w:rPr>
                <w:rFonts w:hint="eastAsia" w:ascii="宋体" w:hAnsi="宋体" w:cs="宋体"/>
                <w:color w:val="000000"/>
                <w:sz w:val="20"/>
                <w:szCs w:val="20"/>
              </w:rPr>
            </w:pPr>
          </w:p>
        </w:tc>
        <w:tc>
          <w:tcPr>
            <w:tcW w:w="511"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7DA91F">
            <w:pPr>
              <w:jc w:val="center"/>
              <w:rPr>
                <w:rFonts w:hint="eastAsia" w:ascii="宋体" w:hAnsi="宋体" w:cs="宋体"/>
                <w:color w:val="000000"/>
                <w:sz w:val="20"/>
                <w:szCs w:val="20"/>
              </w:rPr>
            </w:pPr>
          </w:p>
        </w:tc>
        <w:tc>
          <w:tcPr>
            <w:tcW w:w="55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DFC73">
            <w:pPr>
              <w:jc w:val="center"/>
              <w:rPr>
                <w:rFonts w:hint="eastAsia" w:ascii="宋体" w:hAnsi="宋体" w:cs="宋体"/>
                <w:color w:val="000000"/>
                <w:sz w:val="20"/>
                <w:szCs w:val="20"/>
              </w:rPr>
            </w:pPr>
          </w:p>
        </w:tc>
      </w:tr>
      <w:tr w14:paraId="6446955E">
        <w:tblPrEx>
          <w:tblCellMar>
            <w:top w:w="0" w:type="dxa"/>
            <w:left w:w="108" w:type="dxa"/>
            <w:bottom w:w="0" w:type="dxa"/>
            <w:right w:w="108" w:type="dxa"/>
          </w:tblCellMar>
        </w:tblPrEx>
        <w:trPr>
          <w:trHeight w:val="400" w:hRule="atLeast"/>
        </w:trPr>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AE45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年度绩效指标完成情况</w:t>
            </w: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B6D2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产出指标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368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A29AB">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购置新能源车辆数量</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D60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&gt;=3辆</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E718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=3辆</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F6E5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BEBB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3A867F">
            <w:pPr>
              <w:jc w:val="center"/>
              <w:rPr>
                <w:rFonts w:hint="eastAsia" w:ascii="宋体" w:hAnsi="宋体" w:cs="宋体"/>
                <w:color w:val="000000"/>
                <w:sz w:val="20"/>
                <w:szCs w:val="20"/>
              </w:rPr>
            </w:pPr>
          </w:p>
        </w:tc>
      </w:tr>
      <w:tr w14:paraId="4619BE43">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DD322F">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AF24A">
            <w:pPr>
              <w:jc w:val="center"/>
              <w:rPr>
                <w:rFonts w:hint="eastAsia" w:ascii="宋体" w:hAnsi="宋体" w:cs="宋体"/>
                <w:color w:val="000000"/>
                <w:sz w:val="20"/>
                <w:szCs w:val="20"/>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DEA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A1972">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购置车辆质量合格率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F00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1A9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143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73FF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27133D">
            <w:pPr>
              <w:jc w:val="center"/>
              <w:rPr>
                <w:rFonts w:hint="eastAsia" w:ascii="宋体" w:hAnsi="宋体" w:cs="宋体"/>
                <w:color w:val="000000"/>
                <w:sz w:val="20"/>
                <w:szCs w:val="20"/>
              </w:rPr>
            </w:pPr>
          </w:p>
        </w:tc>
      </w:tr>
      <w:tr w14:paraId="6D34ED03">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4E588">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068067">
            <w:pPr>
              <w:jc w:val="center"/>
              <w:rPr>
                <w:rFonts w:hint="eastAsia" w:ascii="宋体" w:hAnsi="宋体" w:cs="宋体"/>
                <w:color w:val="000000"/>
                <w:sz w:val="20"/>
                <w:szCs w:val="20"/>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78BBC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851E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政府采购执行率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BD7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2556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12BD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6EFB4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DA13C2">
            <w:pPr>
              <w:jc w:val="center"/>
              <w:rPr>
                <w:rFonts w:hint="eastAsia" w:ascii="宋体" w:hAnsi="宋体" w:cs="宋体"/>
                <w:color w:val="000000"/>
                <w:sz w:val="20"/>
                <w:szCs w:val="20"/>
              </w:rPr>
            </w:pPr>
          </w:p>
        </w:tc>
      </w:tr>
      <w:tr w14:paraId="59489C90">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58FE4">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1DE4CA">
            <w:pPr>
              <w:jc w:val="center"/>
              <w:rPr>
                <w:rFonts w:hint="eastAsia" w:ascii="宋体" w:hAnsi="宋体" w:cs="宋体"/>
                <w:color w:val="000000"/>
                <w:sz w:val="20"/>
                <w:szCs w:val="20"/>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ECD6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A04B1">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购置完成时间</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2B6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2023年6月1日前</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02D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=2023年6月1日前</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D25F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B151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85E255">
            <w:pPr>
              <w:jc w:val="center"/>
              <w:rPr>
                <w:rFonts w:hint="eastAsia" w:ascii="宋体" w:hAnsi="宋体" w:cs="宋体"/>
                <w:color w:val="000000"/>
                <w:sz w:val="20"/>
                <w:szCs w:val="20"/>
              </w:rPr>
            </w:pPr>
          </w:p>
        </w:tc>
      </w:tr>
      <w:tr w14:paraId="461EBF2C">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B174E">
            <w:pPr>
              <w:jc w:val="center"/>
              <w:rPr>
                <w:rFonts w:hint="eastAsia" w:ascii="宋体" w:hAnsi="宋体" w:cs="宋体"/>
                <w:color w:val="000000"/>
                <w:sz w:val="20"/>
                <w:szCs w:val="20"/>
              </w:rPr>
            </w:pP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A9E0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成本指标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028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经济成本指标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44EA7">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车辆单价</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A61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&lt;=17.17万元</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BE0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=17.17万元</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F9A0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E1A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C852D6">
            <w:pPr>
              <w:jc w:val="center"/>
              <w:rPr>
                <w:rFonts w:hint="eastAsia" w:ascii="宋体" w:hAnsi="宋体" w:cs="宋体"/>
                <w:color w:val="000000"/>
                <w:sz w:val="20"/>
                <w:szCs w:val="20"/>
              </w:rPr>
            </w:pPr>
          </w:p>
        </w:tc>
      </w:tr>
      <w:tr w14:paraId="5D48ED27">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98D640">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011DF">
            <w:pPr>
              <w:jc w:val="center"/>
              <w:rPr>
                <w:rFonts w:hint="eastAsia" w:ascii="宋体" w:hAnsi="宋体" w:cs="宋体"/>
                <w:color w:val="000000"/>
                <w:sz w:val="20"/>
                <w:szCs w:val="20"/>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9A49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社会成本指标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12F94">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驾驶安全事故发生率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AF00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&lt;=1%</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7C7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1AFB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30AD8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7E106C">
            <w:pPr>
              <w:jc w:val="center"/>
              <w:rPr>
                <w:rFonts w:hint="eastAsia" w:ascii="宋体" w:hAnsi="宋体" w:cs="宋体"/>
                <w:color w:val="000000"/>
                <w:sz w:val="20"/>
                <w:szCs w:val="20"/>
              </w:rPr>
            </w:pPr>
          </w:p>
        </w:tc>
      </w:tr>
      <w:tr w14:paraId="72172E1E">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EDCFD">
            <w:pPr>
              <w:jc w:val="center"/>
              <w:rPr>
                <w:rFonts w:hint="eastAsia" w:ascii="宋体" w:hAnsi="宋体" w:cs="宋体"/>
                <w:color w:val="000000"/>
                <w:sz w:val="20"/>
                <w:szCs w:val="20"/>
              </w:rPr>
            </w:pPr>
          </w:p>
        </w:tc>
        <w:tc>
          <w:tcPr>
            <w:tcW w:w="3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0BE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效益指标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3B1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经济效益指标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F34D">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车辆维修费用降低率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FC1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E177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780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34FA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67E05C">
            <w:pPr>
              <w:jc w:val="center"/>
              <w:rPr>
                <w:rFonts w:hint="eastAsia" w:ascii="宋体" w:hAnsi="宋体" w:cs="宋体"/>
                <w:color w:val="000000"/>
                <w:sz w:val="20"/>
                <w:szCs w:val="20"/>
              </w:rPr>
            </w:pPr>
          </w:p>
        </w:tc>
      </w:tr>
      <w:tr w14:paraId="613DE2EA">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51291C">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A30CE3">
            <w:pPr>
              <w:jc w:val="center"/>
              <w:rPr>
                <w:rFonts w:hint="eastAsia" w:ascii="宋体" w:hAnsi="宋体" w:cs="宋体"/>
                <w:color w:val="000000"/>
                <w:sz w:val="20"/>
                <w:szCs w:val="20"/>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221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4BE6E">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车辆正常运转率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4A3D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88C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7759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AB7D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CC713">
            <w:pPr>
              <w:jc w:val="center"/>
              <w:rPr>
                <w:rFonts w:hint="eastAsia" w:ascii="宋体" w:hAnsi="宋体" w:cs="宋体"/>
                <w:color w:val="000000"/>
                <w:sz w:val="20"/>
                <w:szCs w:val="20"/>
              </w:rPr>
            </w:pPr>
          </w:p>
        </w:tc>
      </w:tr>
      <w:tr w14:paraId="3FED3F91">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3721FF">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FF832">
            <w:pPr>
              <w:jc w:val="center"/>
              <w:rPr>
                <w:rFonts w:hint="eastAsia" w:ascii="宋体" w:hAnsi="宋体" w:cs="宋体"/>
                <w:color w:val="000000"/>
                <w:sz w:val="20"/>
                <w:szCs w:val="20"/>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8177B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ABAB8">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燃油消耗降低率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39D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C78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67CD8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444D4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561840">
            <w:pPr>
              <w:jc w:val="center"/>
              <w:rPr>
                <w:rFonts w:hint="eastAsia" w:ascii="宋体" w:hAnsi="宋体" w:cs="宋体"/>
                <w:color w:val="000000"/>
                <w:sz w:val="20"/>
                <w:szCs w:val="20"/>
              </w:rPr>
            </w:pPr>
          </w:p>
        </w:tc>
      </w:tr>
      <w:tr w14:paraId="79C127FB">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C823C">
            <w:pPr>
              <w:jc w:val="center"/>
              <w:rPr>
                <w:rFonts w:hint="eastAsia" w:ascii="宋体" w:hAnsi="宋体" w:cs="宋体"/>
                <w:color w:val="000000"/>
                <w:sz w:val="20"/>
                <w:szCs w:val="20"/>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CE221">
            <w:pPr>
              <w:jc w:val="center"/>
              <w:rPr>
                <w:rFonts w:hint="eastAsia" w:ascii="宋体" w:hAnsi="宋体" w:cs="宋体"/>
                <w:color w:val="000000"/>
                <w:sz w:val="20"/>
                <w:szCs w:val="20"/>
              </w:rPr>
            </w:pP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BFD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生态效益指标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77E2C">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二氧化碳排放量降低率</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04B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&gt;=50%</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2E9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=50%</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14A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B94F3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1AB9A">
            <w:pPr>
              <w:jc w:val="center"/>
              <w:rPr>
                <w:rFonts w:hint="eastAsia" w:ascii="宋体" w:hAnsi="宋体" w:cs="宋体"/>
                <w:color w:val="000000"/>
                <w:sz w:val="20"/>
                <w:szCs w:val="20"/>
              </w:rPr>
            </w:pPr>
          </w:p>
        </w:tc>
      </w:tr>
      <w:tr w14:paraId="621277AC">
        <w:tblPrEx>
          <w:tblCellMar>
            <w:top w:w="0" w:type="dxa"/>
            <w:left w:w="108" w:type="dxa"/>
            <w:bottom w:w="0" w:type="dxa"/>
            <w:right w:w="108" w:type="dxa"/>
          </w:tblCellMar>
        </w:tblPrEx>
        <w:trPr>
          <w:trHeight w:val="400" w:hRule="atLeast"/>
        </w:trPr>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7BDE6">
            <w:pPr>
              <w:jc w:val="center"/>
              <w:rPr>
                <w:rFonts w:hint="eastAsia" w:ascii="宋体" w:hAnsi="宋体" w:cs="宋体"/>
                <w:color w:val="000000"/>
                <w:sz w:val="20"/>
                <w:szCs w:val="20"/>
              </w:rPr>
            </w:pPr>
          </w:p>
        </w:tc>
        <w:tc>
          <w:tcPr>
            <w:tcW w:w="3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CE1D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5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FF0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满意度指标</w:t>
            </w:r>
          </w:p>
        </w:tc>
        <w:tc>
          <w:tcPr>
            <w:tcW w:w="13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5220A">
            <w:pPr>
              <w:widowControl/>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乘坐人员满意度</w:t>
            </w:r>
          </w:p>
        </w:tc>
        <w:tc>
          <w:tcPr>
            <w:tcW w:w="5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7BD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47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869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86657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EE9F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29031">
            <w:pPr>
              <w:jc w:val="center"/>
              <w:rPr>
                <w:rFonts w:hint="eastAsia" w:ascii="宋体" w:hAnsi="宋体" w:cs="宋体"/>
                <w:color w:val="000000"/>
                <w:sz w:val="20"/>
                <w:szCs w:val="20"/>
              </w:rPr>
            </w:pPr>
          </w:p>
        </w:tc>
      </w:tr>
      <w:tr w14:paraId="6409A746">
        <w:tblPrEx>
          <w:tblCellMar>
            <w:top w:w="0" w:type="dxa"/>
            <w:left w:w="108" w:type="dxa"/>
            <w:bottom w:w="0" w:type="dxa"/>
            <w:right w:w="108" w:type="dxa"/>
          </w:tblCellMar>
        </w:tblPrEx>
        <w:trPr>
          <w:trHeight w:val="270" w:hRule="atLeast"/>
        </w:trPr>
        <w:tc>
          <w:tcPr>
            <w:tcW w:w="341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7985F3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总分</w:t>
            </w:r>
          </w:p>
        </w:tc>
        <w:tc>
          <w:tcPr>
            <w:tcW w:w="52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D967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5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838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100分</w:t>
            </w:r>
          </w:p>
        </w:tc>
        <w:tc>
          <w:tcPr>
            <w:tcW w:w="55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893D84">
            <w:pPr>
              <w:jc w:val="center"/>
              <w:rPr>
                <w:rFonts w:hint="eastAsia" w:ascii="宋体" w:hAnsi="宋体" w:cs="宋体"/>
                <w:color w:val="000000"/>
                <w:sz w:val="20"/>
                <w:szCs w:val="20"/>
              </w:rPr>
            </w:pPr>
          </w:p>
        </w:tc>
      </w:tr>
    </w:tbl>
    <w:p w14:paraId="36C09DE7">
      <w:pPr>
        <w:ind w:firstLine="640" w:firstLineChars="200"/>
        <w:jc w:val="left"/>
        <w:rPr>
          <w:rFonts w:ascii="仿宋_GB2312" w:eastAsia="仿宋_GB2312"/>
          <w:sz w:val="32"/>
          <w:szCs w:val="32"/>
        </w:rPr>
      </w:pPr>
    </w:p>
    <w:p w14:paraId="001270BF">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E7C0183">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63F9100">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0FAA76B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1999B39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88B383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FF77A3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41804E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8807D2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444E820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2DF5B9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DC8FB1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25619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C1AEDB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01DCA3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1E35FE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E2ABB6">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4E21E97">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1BC5D89">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25D47CC">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1F981203">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27F7B9B5">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59C2C91">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366B262">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5D62F2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4DC6F19">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79EC9D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1B1A940">
      <w:pPr>
        <w:ind w:firstLine="640" w:firstLineChars="200"/>
        <w:rPr>
          <w:rFonts w:ascii="仿宋_GB2312" w:eastAsia="仿宋_GB2312"/>
          <w:sz w:val="32"/>
          <w:szCs w:val="32"/>
        </w:rPr>
      </w:pPr>
    </w:p>
    <w:p w14:paraId="57B6D0EB">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DA92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58C063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58C063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CC1C7F"/>
    <w:rsid w:val="000003F8"/>
    <w:rsid w:val="00025327"/>
    <w:rsid w:val="0007749A"/>
    <w:rsid w:val="000F276F"/>
    <w:rsid w:val="00180451"/>
    <w:rsid w:val="00184853"/>
    <w:rsid w:val="00200C5D"/>
    <w:rsid w:val="00213C59"/>
    <w:rsid w:val="00227A9F"/>
    <w:rsid w:val="003210CE"/>
    <w:rsid w:val="00337F9A"/>
    <w:rsid w:val="0038107A"/>
    <w:rsid w:val="00383695"/>
    <w:rsid w:val="003970D1"/>
    <w:rsid w:val="003B7E6C"/>
    <w:rsid w:val="004D78D8"/>
    <w:rsid w:val="005A6051"/>
    <w:rsid w:val="00663FB1"/>
    <w:rsid w:val="007B7E1C"/>
    <w:rsid w:val="008B49B2"/>
    <w:rsid w:val="00903FEC"/>
    <w:rsid w:val="009403BC"/>
    <w:rsid w:val="00942561"/>
    <w:rsid w:val="009569A9"/>
    <w:rsid w:val="00957327"/>
    <w:rsid w:val="009676A9"/>
    <w:rsid w:val="00B70D59"/>
    <w:rsid w:val="00C31438"/>
    <w:rsid w:val="00C5277F"/>
    <w:rsid w:val="00CC1C7F"/>
    <w:rsid w:val="00D779C0"/>
    <w:rsid w:val="00E57B87"/>
    <w:rsid w:val="00EB7086"/>
    <w:rsid w:val="00EF5917"/>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464D0D"/>
    <w:rsid w:val="434E6957"/>
    <w:rsid w:val="43BA0E31"/>
    <w:rsid w:val="43C15147"/>
    <w:rsid w:val="43E14DD2"/>
    <w:rsid w:val="43F800E9"/>
    <w:rsid w:val="443A7E4B"/>
    <w:rsid w:val="452F5B3A"/>
    <w:rsid w:val="454E7FD2"/>
    <w:rsid w:val="46061BDC"/>
    <w:rsid w:val="461404F8"/>
    <w:rsid w:val="46413018"/>
    <w:rsid w:val="464441EC"/>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7FA18E7"/>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8458</Words>
  <Characters>9598</Characters>
  <Lines>76</Lines>
  <Paragraphs>21</Paragraphs>
  <TotalTime>13</TotalTime>
  <ScaleCrop>false</ScaleCrop>
  <LinksUpToDate>false</LinksUpToDate>
  <CharactersWithSpaces>9610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2024-12-27T04:54:53Z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